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7C5C75">
      <w:pPr>
        <w:autoSpaceDE w:val="0"/>
        <w:autoSpaceDN w:val="0"/>
        <w:adjustRightInd w:val="0"/>
        <w:snapToGrid w:val="0"/>
        <w:spacing w:line="360" w:lineRule="auto"/>
        <w:jc w:val="center"/>
        <w:rPr>
          <w:rFonts w:hint="eastAsia" w:ascii="宋体" w:hAnsi="宋体" w:cs="宋体"/>
          <w:b/>
          <w:bCs/>
          <w:sz w:val="44"/>
          <w:szCs w:val="44"/>
        </w:rPr>
      </w:pPr>
      <w:bookmarkStart w:id="0" w:name="_Hlk146020389"/>
    </w:p>
    <w:p w14:paraId="78F3E199">
      <w:pPr>
        <w:autoSpaceDE w:val="0"/>
        <w:autoSpaceDN w:val="0"/>
        <w:adjustRightInd w:val="0"/>
        <w:snapToGrid w:val="0"/>
        <w:spacing w:line="360" w:lineRule="auto"/>
        <w:jc w:val="center"/>
        <w:rPr>
          <w:rFonts w:hint="eastAsia" w:ascii="宋体" w:hAnsi="宋体" w:eastAsia="宋体" w:cs="宋体"/>
          <w:b/>
          <w:bCs/>
          <w:kern w:val="0"/>
          <w:sz w:val="44"/>
          <w:szCs w:val="44"/>
          <w:lang w:eastAsia="zh-CN"/>
        </w:rPr>
      </w:pPr>
      <w:r>
        <w:rPr>
          <w:rFonts w:hint="eastAsia" w:ascii="宋体" w:hAnsi="宋体" w:cs="宋体"/>
          <w:b/>
          <w:bCs/>
          <w:sz w:val="44"/>
          <w:szCs w:val="44"/>
          <w:lang w:eastAsia="zh-CN"/>
        </w:rPr>
        <w:t>重庆理工职业学院实训机房改建项目</w:t>
      </w:r>
    </w:p>
    <w:bookmarkEnd w:id="0"/>
    <w:p w14:paraId="3F229667">
      <w:pPr>
        <w:widowControl/>
        <w:spacing w:line="360" w:lineRule="auto"/>
        <w:jc w:val="left"/>
        <w:rPr>
          <w:rFonts w:hint="eastAsia" w:ascii="宋体" w:hAnsi="宋体" w:cs="宋体"/>
          <w:kern w:val="0"/>
          <w:sz w:val="24"/>
        </w:rPr>
      </w:pPr>
    </w:p>
    <w:p w14:paraId="2CF0D5F2">
      <w:pPr>
        <w:widowControl/>
        <w:spacing w:line="360" w:lineRule="auto"/>
        <w:jc w:val="left"/>
        <w:rPr>
          <w:rFonts w:hint="eastAsia" w:ascii="宋体" w:hAnsi="宋体" w:cs="宋体"/>
          <w:kern w:val="0"/>
          <w:sz w:val="24"/>
        </w:rPr>
      </w:pPr>
    </w:p>
    <w:p w14:paraId="2E4C674D">
      <w:pPr>
        <w:widowControl/>
        <w:spacing w:line="360" w:lineRule="auto"/>
        <w:jc w:val="left"/>
        <w:rPr>
          <w:rFonts w:hint="eastAsia" w:ascii="宋体" w:hAnsi="宋体" w:cs="宋体"/>
          <w:kern w:val="0"/>
          <w:sz w:val="24"/>
        </w:rPr>
      </w:pPr>
    </w:p>
    <w:p w14:paraId="4423CC44">
      <w:pPr>
        <w:widowControl/>
        <w:spacing w:line="360" w:lineRule="auto"/>
        <w:jc w:val="left"/>
        <w:rPr>
          <w:rFonts w:hint="eastAsia" w:ascii="宋体" w:hAnsi="宋体" w:cs="宋体"/>
          <w:kern w:val="0"/>
          <w:sz w:val="24"/>
        </w:rPr>
      </w:pPr>
    </w:p>
    <w:p w14:paraId="2C6017A2">
      <w:pPr>
        <w:widowControl/>
        <w:spacing w:line="360" w:lineRule="auto"/>
        <w:jc w:val="left"/>
        <w:rPr>
          <w:rFonts w:hint="eastAsia" w:ascii="宋体" w:hAnsi="宋体" w:cs="宋体"/>
          <w:kern w:val="0"/>
          <w:sz w:val="24"/>
        </w:rPr>
      </w:pPr>
    </w:p>
    <w:p w14:paraId="7D776DE6"/>
    <w:p w14:paraId="69C01EC4"/>
    <w:p w14:paraId="0A693C1E">
      <w:pPr>
        <w:widowControl/>
        <w:spacing w:line="360" w:lineRule="auto"/>
        <w:jc w:val="left"/>
        <w:rPr>
          <w:rFonts w:hint="eastAsia" w:ascii="宋体" w:hAnsi="宋体" w:cs="宋体"/>
          <w:kern w:val="0"/>
          <w:sz w:val="24"/>
        </w:rPr>
      </w:pPr>
    </w:p>
    <w:p w14:paraId="0234087E">
      <w:pPr>
        <w:autoSpaceDE w:val="0"/>
        <w:autoSpaceDN w:val="0"/>
        <w:adjustRightInd w:val="0"/>
        <w:snapToGrid w:val="0"/>
        <w:spacing w:line="360" w:lineRule="auto"/>
        <w:jc w:val="center"/>
        <w:rPr>
          <w:rFonts w:hint="eastAsia" w:ascii="宋体" w:hAnsi="宋体" w:cs="宋体"/>
          <w:bCs/>
          <w:spacing w:val="60"/>
          <w:kern w:val="0"/>
          <w:sz w:val="84"/>
          <w:szCs w:val="84"/>
        </w:rPr>
      </w:pPr>
      <w:r>
        <w:rPr>
          <w:rFonts w:hint="eastAsia" w:ascii="宋体" w:hAnsi="宋体" w:cs="宋体"/>
          <w:b/>
          <w:spacing w:val="60"/>
          <w:kern w:val="0"/>
          <w:sz w:val="84"/>
          <w:szCs w:val="84"/>
        </w:rPr>
        <w:t>竞争性比选文件</w:t>
      </w:r>
    </w:p>
    <w:p w14:paraId="21368917">
      <w:pPr>
        <w:autoSpaceDE w:val="0"/>
        <w:autoSpaceDN w:val="0"/>
        <w:adjustRightInd w:val="0"/>
        <w:snapToGrid w:val="0"/>
        <w:spacing w:line="360" w:lineRule="auto"/>
        <w:jc w:val="center"/>
        <w:rPr>
          <w:rFonts w:hint="eastAsia" w:ascii="宋体" w:hAnsi="宋体" w:eastAsia="宋体" w:cs="宋体"/>
          <w:kern w:val="0"/>
          <w:sz w:val="20"/>
          <w:lang w:eastAsia="zh-CN"/>
        </w:rPr>
      </w:pPr>
      <w:r>
        <w:rPr>
          <w:rFonts w:hint="eastAsia" w:ascii="宋体" w:hAnsi="宋体" w:cs="宋体"/>
          <w:b/>
          <w:bCs/>
          <w:kern w:val="0"/>
          <w:sz w:val="32"/>
          <w:szCs w:val="32"/>
        </w:rPr>
        <w:t>项目编号：</w:t>
      </w:r>
      <w:r>
        <w:rPr>
          <w:rFonts w:hint="eastAsia" w:ascii="宋体" w:hAnsi="宋体" w:cs="宋体"/>
          <w:b/>
          <w:bCs/>
          <w:kern w:val="0"/>
          <w:sz w:val="32"/>
          <w:szCs w:val="32"/>
          <w:lang w:eastAsia="zh-CN"/>
        </w:rPr>
        <w:t>CQIP-2026030402</w:t>
      </w:r>
    </w:p>
    <w:p w14:paraId="4435FD7E">
      <w:pPr>
        <w:widowControl/>
        <w:spacing w:line="360" w:lineRule="auto"/>
        <w:jc w:val="left"/>
        <w:rPr>
          <w:rFonts w:hint="eastAsia" w:ascii="宋体" w:hAnsi="宋体" w:cs="宋体"/>
          <w:kern w:val="0"/>
          <w:sz w:val="24"/>
        </w:rPr>
      </w:pPr>
    </w:p>
    <w:p w14:paraId="664A95D9">
      <w:pPr>
        <w:widowControl/>
        <w:spacing w:line="360" w:lineRule="auto"/>
        <w:jc w:val="left"/>
        <w:rPr>
          <w:rFonts w:hint="eastAsia" w:ascii="宋体" w:hAnsi="宋体" w:cs="宋体"/>
          <w:kern w:val="0"/>
          <w:sz w:val="24"/>
        </w:rPr>
      </w:pPr>
    </w:p>
    <w:p w14:paraId="5663A62F">
      <w:pPr>
        <w:widowControl/>
        <w:spacing w:line="360" w:lineRule="auto"/>
        <w:jc w:val="left"/>
        <w:rPr>
          <w:rFonts w:hint="eastAsia" w:ascii="宋体" w:hAnsi="宋体" w:cs="宋体"/>
          <w:kern w:val="0"/>
          <w:sz w:val="24"/>
        </w:rPr>
      </w:pPr>
    </w:p>
    <w:p w14:paraId="47EB38AF">
      <w:pPr>
        <w:widowControl/>
        <w:spacing w:line="360" w:lineRule="auto"/>
        <w:jc w:val="left"/>
        <w:rPr>
          <w:rFonts w:hint="eastAsia" w:ascii="宋体" w:hAnsi="宋体" w:cs="宋体"/>
          <w:kern w:val="0"/>
          <w:sz w:val="24"/>
        </w:rPr>
      </w:pPr>
    </w:p>
    <w:p w14:paraId="25EA62B9">
      <w:pPr>
        <w:widowControl/>
        <w:spacing w:line="360" w:lineRule="auto"/>
        <w:jc w:val="left"/>
        <w:rPr>
          <w:rFonts w:hint="eastAsia" w:ascii="宋体" w:hAnsi="宋体" w:cs="宋体"/>
          <w:kern w:val="0"/>
          <w:sz w:val="24"/>
        </w:rPr>
      </w:pPr>
    </w:p>
    <w:p w14:paraId="2BDA222F">
      <w:pPr>
        <w:widowControl/>
        <w:spacing w:line="360" w:lineRule="auto"/>
        <w:jc w:val="left"/>
        <w:rPr>
          <w:rFonts w:hint="eastAsia" w:ascii="宋体" w:hAnsi="宋体" w:cs="宋体"/>
          <w:kern w:val="0"/>
          <w:sz w:val="24"/>
        </w:rPr>
      </w:pPr>
    </w:p>
    <w:p w14:paraId="6A5E29C8"/>
    <w:p w14:paraId="3975CD26">
      <w:pPr>
        <w:widowControl/>
        <w:spacing w:line="360" w:lineRule="auto"/>
        <w:jc w:val="left"/>
        <w:rPr>
          <w:rFonts w:hint="eastAsia" w:ascii="宋体" w:hAnsi="宋体" w:cs="宋体"/>
          <w:kern w:val="0"/>
          <w:sz w:val="24"/>
        </w:rPr>
      </w:pPr>
    </w:p>
    <w:p w14:paraId="774C0F6E">
      <w:pPr>
        <w:autoSpaceDE w:val="0"/>
        <w:autoSpaceDN w:val="0"/>
        <w:adjustRightInd w:val="0"/>
        <w:snapToGrid w:val="0"/>
        <w:spacing w:line="360" w:lineRule="auto"/>
        <w:jc w:val="center"/>
        <w:rPr>
          <w:rFonts w:hint="eastAsia" w:ascii="宋体" w:hAnsi="宋体" w:cs="宋体"/>
          <w:b/>
          <w:kern w:val="0"/>
          <w:sz w:val="28"/>
          <w:szCs w:val="28"/>
          <w:u w:val="single"/>
        </w:rPr>
      </w:pPr>
      <w:r>
        <w:rPr>
          <w:rFonts w:hint="eastAsia" w:ascii="宋体" w:hAnsi="宋体" w:cs="宋体"/>
          <w:b/>
          <w:sz w:val="28"/>
          <w:szCs w:val="28"/>
        </w:rPr>
        <w:t>比选人：</w:t>
      </w:r>
      <w:bookmarkStart w:id="1" w:name="OLE_LINK1"/>
      <w:r>
        <w:rPr>
          <w:rFonts w:hint="eastAsia" w:ascii="宋体" w:hAnsi="宋体" w:cs="宋体"/>
          <w:b/>
          <w:sz w:val="28"/>
          <w:szCs w:val="28"/>
          <w:u w:val="single"/>
        </w:rPr>
        <w:t>重庆理工职业学院</w:t>
      </w:r>
      <w:bookmarkEnd w:id="1"/>
      <w:r>
        <w:rPr>
          <w:rFonts w:hint="eastAsia" w:ascii="宋体" w:hAnsi="宋体" w:cs="宋体"/>
          <w:b/>
          <w:w w:val="99"/>
          <w:kern w:val="0"/>
          <w:sz w:val="28"/>
          <w:szCs w:val="28"/>
        </w:rPr>
        <w:t>（盖鲜公章）</w:t>
      </w:r>
    </w:p>
    <w:p w14:paraId="3BF8ECFE">
      <w:pPr>
        <w:tabs>
          <w:tab w:val="left" w:pos="7770"/>
        </w:tabs>
        <w:spacing w:line="360" w:lineRule="auto"/>
        <w:jc w:val="center"/>
        <w:rPr>
          <w:rFonts w:hint="eastAsia" w:ascii="宋体" w:hAnsi="宋体" w:cs="宋体"/>
          <w:b/>
          <w:sz w:val="28"/>
          <w:szCs w:val="28"/>
        </w:rPr>
      </w:pPr>
      <w:r>
        <w:rPr>
          <w:rFonts w:hint="eastAsia" w:ascii="宋体" w:hAnsi="宋体" w:cs="宋体"/>
          <w:b/>
          <w:sz w:val="28"/>
          <w:szCs w:val="28"/>
        </w:rPr>
        <w:t>比选代理机构：</w:t>
      </w:r>
      <w:r>
        <w:rPr>
          <w:rFonts w:hint="eastAsia" w:ascii="宋体" w:hAnsi="宋体" w:cs="宋体"/>
          <w:b/>
          <w:kern w:val="0"/>
          <w:sz w:val="28"/>
          <w:szCs w:val="28"/>
          <w:u w:val="single"/>
        </w:rPr>
        <w:t>中资国际工程咨询集团有限责任公司</w:t>
      </w:r>
      <w:r>
        <w:rPr>
          <w:rFonts w:hint="eastAsia" w:ascii="宋体" w:hAnsi="宋体" w:cs="宋体"/>
          <w:b/>
          <w:w w:val="99"/>
          <w:kern w:val="0"/>
          <w:sz w:val="28"/>
          <w:szCs w:val="28"/>
        </w:rPr>
        <w:t>（盖鲜公章）</w:t>
      </w:r>
    </w:p>
    <w:p w14:paraId="57A893D4">
      <w:pPr>
        <w:autoSpaceDE w:val="0"/>
        <w:autoSpaceDN w:val="0"/>
        <w:adjustRightInd w:val="0"/>
        <w:snapToGrid w:val="0"/>
        <w:spacing w:line="360" w:lineRule="auto"/>
        <w:jc w:val="center"/>
        <w:rPr>
          <w:rFonts w:hint="eastAsia" w:ascii="宋体" w:hAnsi="宋体" w:cs="宋体"/>
          <w:b/>
          <w:sz w:val="44"/>
          <w:szCs w:val="44"/>
        </w:rPr>
        <w:sectPr>
          <w:headerReference r:id="rId3" w:type="default"/>
          <w:footerReference r:id="rId4" w:type="default"/>
          <w:pgSz w:w="11906" w:h="16838"/>
          <w:pgMar w:top="1418" w:right="1418" w:bottom="1418" w:left="1418" w:header="851" w:footer="992" w:gutter="0"/>
          <w:pgNumType w:start="1"/>
          <w:cols w:space="425" w:num="1"/>
          <w:docGrid w:type="lines" w:linePitch="312" w:charSpace="0"/>
        </w:sectPr>
      </w:pPr>
      <w:r>
        <w:rPr>
          <w:rFonts w:hint="eastAsia" w:ascii="宋体" w:hAnsi="宋体" w:cs="宋体"/>
          <w:b/>
          <w:sz w:val="32"/>
          <w:szCs w:val="32"/>
          <w:u w:val="single"/>
        </w:rPr>
        <w:t>202</w:t>
      </w:r>
      <w:r>
        <w:rPr>
          <w:rFonts w:hint="eastAsia" w:ascii="宋体" w:hAnsi="宋体" w:cs="宋体"/>
          <w:b/>
          <w:sz w:val="32"/>
          <w:szCs w:val="32"/>
          <w:u w:val="single"/>
          <w:lang w:val="en-US" w:eastAsia="zh-CN"/>
        </w:rPr>
        <w:t>6</w:t>
      </w:r>
      <w:bookmarkStart w:id="836" w:name="_GoBack"/>
      <w:bookmarkEnd w:id="836"/>
      <w:r>
        <w:rPr>
          <w:rFonts w:hint="eastAsia" w:ascii="宋体" w:hAnsi="宋体" w:cs="宋体"/>
          <w:b/>
          <w:sz w:val="32"/>
          <w:szCs w:val="32"/>
          <w:u w:val="single"/>
        </w:rPr>
        <w:t>年5月</w:t>
      </w:r>
    </w:p>
    <w:p w14:paraId="793C17C2">
      <w:pPr>
        <w:jc w:val="center"/>
        <w:rPr>
          <w:rFonts w:hint="eastAsia" w:ascii="宋体" w:hAnsi="宋体" w:cs="宋体"/>
          <w:b/>
          <w:sz w:val="44"/>
          <w:szCs w:val="44"/>
        </w:rPr>
      </w:pPr>
      <w:r>
        <w:rPr>
          <w:rFonts w:hint="eastAsia" w:ascii="宋体" w:hAnsi="宋体" w:cs="宋体"/>
          <w:b/>
          <w:sz w:val="44"/>
          <w:szCs w:val="44"/>
        </w:rPr>
        <w:t>目 录</w:t>
      </w:r>
    </w:p>
    <w:p w14:paraId="11687553"/>
    <w:p w14:paraId="6F69B0C4">
      <w:pPr>
        <w:pStyle w:val="50"/>
        <w:tabs>
          <w:tab w:val="right" w:leader="dot" w:pos="9639"/>
          <w:tab w:val="clear" w:pos="9062"/>
        </w:tabs>
        <w:spacing w:line="600" w:lineRule="exact"/>
        <w:rPr>
          <w:rFonts w:hint="eastAsia" w:ascii="宋体" w:hAnsi="宋体" w:cs="宋体"/>
          <w:sz w:val="32"/>
          <w:szCs w:val="32"/>
        </w:rPr>
      </w:pPr>
      <w:r>
        <w:rPr>
          <w:sz w:val="28"/>
          <w:szCs w:val="28"/>
        </w:rPr>
        <w:fldChar w:fldCharType="begin"/>
      </w:r>
      <w:r>
        <w:rPr>
          <w:sz w:val="28"/>
          <w:szCs w:val="28"/>
        </w:rPr>
        <w:instrText xml:space="preserve"> TOC \o "1-3" \h \z \u </w:instrText>
      </w:r>
      <w:r>
        <w:rPr>
          <w:sz w:val="28"/>
          <w:szCs w:val="28"/>
        </w:rPr>
        <w:fldChar w:fldCharType="separate"/>
      </w:r>
      <w:r>
        <w:fldChar w:fldCharType="begin"/>
      </w:r>
      <w:r>
        <w:instrText xml:space="preserve"> HYPERLINK \l "_Toc32560" </w:instrText>
      </w:r>
      <w:r>
        <w:fldChar w:fldCharType="separate"/>
      </w:r>
      <w:r>
        <w:rPr>
          <w:rFonts w:hint="eastAsia" w:ascii="宋体" w:hAnsi="宋体" w:cs="宋体"/>
          <w:sz w:val="32"/>
          <w:szCs w:val="32"/>
        </w:rPr>
        <w:t>第一章 比选公告</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_Toc32560 \h </w:instrText>
      </w:r>
      <w:r>
        <w:rPr>
          <w:rFonts w:hint="eastAsia" w:ascii="宋体" w:hAnsi="宋体" w:cs="宋体"/>
          <w:sz w:val="32"/>
          <w:szCs w:val="32"/>
        </w:rPr>
        <w:fldChar w:fldCharType="separate"/>
      </w:r>
      <w:r>
        <w:rPr>
          <w:rFonts w:hint="eastAsia" w:ascii="宋体" w:hAnsi="宋体" w:cs="宋体"/>
          <w:sz w:val="32"/>
          <w:szCs w:val="32"/>
        </w:rPr>
        <w:t>2</w:t>
      </w:r>
      <w:r>
        <w:rPr>
          <w:rFonts w:hint="eastAsia" w:ascii="宋体" w:hAnsi="宋体" w:cs="宋体"/>
          <w:sz w:val="32"/>
          <w:szCs w:val="32"/>
        </w:rPr>
        <w:fldChar w:fldCharType="end"/>
      </w:r>
      <w:r>
        <w:rPr>
          <w:rFonts w:hint="eastAsia" w:ascii="宋体" w:hAnsi="宋体" w:cs="宋体"/>
          <w:sz w:val="32"/>
          <w:szCs w:val="32"/>
        </w:rPr>
        <w:fldChar w:fldCharType="end"/>
      </w:r>
    </w:p>
    <w:p w14:paraId="44AF3136">
      <w:pPr>
        <w:pStyle w:val="50"/>
        <w:tabs>
          <w:tab w:val="right" w:leader="dot" w:pos="9639"/>
          <w:tab w:val="clear" w:pos="9062"/>
        </w:tabs>
        <w:spacing w:line="600" w:lineRule="exact"/>
        <w:rPr>
          <w:rFonts w:hint="eastAsia" w:ascii="宋体" w:hAnsi="宋体" w:cs="宋体"/>
          <w:sz w:val="32"/>
          <w:szCs w:val="32"/>
        </w:rPr>
      </w:pPr>
      <w:r>
        <w:fldChar w:fldCharType="begin"/>
      </w:r>
      <w:r>
        <w:instrText xml:space="preserve"> HYPERLINK \l "_Toc15648" </w:instrText>
      </w:r>
      <w:r>
        <w:fldChar w:fldCharType="separate"/>
      </w:r>
      <w:r>
        <w:rPr>
          <w:rFonts w:hint="eastAsia" w:ascii="宋体" w:hAnsi="宋体" w:cs="宋体"/>
          <w:sz w:val="32"/>
          <w:szCs w:val="32"/>
        </w:rPr>
        <w:t>第二章 比选供应商须知</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_Toc15648 \h </w:instrText>
      </w:r>
      <w:r>
        <w:rPr>
          <w:rFonts w:hint="eastAsia" w:ascii="宋体" w:hAnsi="宋体" w:cs="宋体"/>
          <w:sz w:val="32"/>
          <w:szCs w:val="32"/>
        </w:rPr>
        <w:fldChar w:fldCharType="separate"/>
      </w:r>
      <w:r>
        <w:rPr>
          <w:rFonts w:hint="eastAsia" w:ascii="宋体" w:hAnsi="宋体" w:cs="宋体"/>
          <w:sz w:val="32"/>
          <w:szCs w:val="32"/>
        </w:rPr>
        <w:t>4</w:t>
      </w:r>
      <w:r>
        <w:rPr>
          <w:rFonts w:hint="eastAsia" w:ascii="宋体" w:hAnsi="宋体" w:cs="宋体"/>
          <w:sz w:val="32"/>
          <w:szCs w:val="32"/>
        </w:rPr>
        <w:fldChar w:fldCharType="end"/>
      </w:r>
      <w:r>
        <w:rPr>
          <w:rFonts w:hint="eastAsia" w:ascii="宋体" w:hAnsi="宋体" w:cs="宋体"/>
          <w:sz w:val="32"/>
          <w:szCs w:val="32"/>
        </w:rPr>
        <w:fldChar w:fldCharType="end"/>
      </w:r>
    </w:p>
    <w:p w14:paraId="0FFFAE93">
      <w:pPr>
        <w:pStyle w:val="50"/>
        <w:tabs>
          <w:tab w:val="right" w:leader="dot" w:pos="9639"/>
          <w:tab w:val="clear" w:pos="9062"/>
        </w:tabs>
        <w:spacing w:line="600" w:lineRule="exact"/>
        <w:rPr>
          <w:rFonts w:hint="eastAsia" w:ascii="宋体" w:hAnsi="宋体" w:cs="宋体"/>
          <w:sz w:val="32"/>
          <w:szCs w:val="32"/>
        </w:rPr>
      </w:pPr>
      <w:r>
        <w:fldChar w:fldCharType="begin"/>
      </w:r>
      <w:r>
        <w:instrText xml:space="preserve"> HYPERLINK \l "_Toc25575" </w:instrText>
      </w:r>
      <w:r>
        <w:fldChar w:fldCharType="separate"/>
      </w:r>
      <w:r>
        <w:rPr>
          <w:rFonts w:hint="eastAsia" w:ascii="宋体" w:hAnsi="宋体" w:cs="宋体"/>
          <w:sz w:val="32"/>
          <w:szCs w:val="32"/>
        </w:rPr>
        <w:t>第三章 评审办法（经评审的最低价法）</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_Toc25575 \h </w:instrText>
      </w:r>
      <w:r>
        <w:rPr>
          <w:rFonts w:hint="eastAsia" w:ascii="宋体" w:hAnsi="宋体" w:cs="宋体"/>
          <w:sz w:val="32"/>
          <w:szCs w:val="32"/>
        </w:rPr>
        <w:fldChar w:fldCharType="separate"/>
      </w:r>
      <w:r>
        <w:rPr>
          <w:rFonts w:hint="eastAsia" w:ascii="宋体" w:hAnsi="宋体" w:cs="宋体"/>
          <w:sz w:val="32"/>
          <w:szCs w:val="32"/>
        </w:rPr>
        <w:t>20</w:t>
      </w:r>
      <w:r>
        <w:rPr>
          <w:rFonts w:hint="eastAsia" w:ascii="宋体" w:hAnsi="宋体" w:cs="宋体"/>
          <w:sz w:val="32"/>
          <w:szCs w:val="32"/>
        </w:rPr>
        <w:fldChar w:fldCharType="end"/>
      </w:r>
      <w:r>
        <w:rPr>
          <w:rFonts w:hint="eastAsia" w:ascii="宋体" w:hAnsi="宋体" w:cs="宋体"/>
          <w:sz w:val="32"/>
          <w:szCs w:val="32"/>
        </w:rPr>
        <w:fldChar w:fldCharType="end"/>
      </w:r>
    </w:p>
    <w:p w14:paraId="5ED8FB97">
      <w:pPr>
        <w:pStyle w:val="50"/>
        <w:tabs>
          <w:tab w:val="right" w:leader="dot" w:pos="9639"/>
          <w:tab w:val="clear" w:pos="9062"/>
        </w:tabs>
        <w:spacing w:line="600" w:lineRule="exact"/>
        <w:rPr>
          <w:rFonts w:hint="eastAsia" w:ascii="宋体" w:hAnsi="宋体" w:cs="宋体"/>
          <w:sz w:val="32"/>
          <w:szCs w:val="32"/>
        </w:rPr>
      </w:pPr>
      <w:r>
        <w:fldChar w:fldCharType="begin"/>
      </w:r>
      <w:r>
        <w:instrText xml:space="preserve"> HYPERLINK \l "_Toc32152" </w:instrText>
      </w:r>
      <w:r>
        <w:fldChar w:fldCharType="separate"/>
      </w:r>
      <w:r>
        <w:rPr>
          <w:rFonts w:hint="eastAsia" w:ascii="宋体" w:hAnsi="宋体" w:cs="宋体"/>
          <w:sz w:val="32"/>
          <w:szCs w:val="32"/>
        </w:rPr>
        <w:t>第四章 项目概况及要求</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_Toc32152 \h </w:instrText>
      </w:r>
      <w:r>
        <w:rPr>
          <w:rFonts w:hint="eastAsia" w:ascii="宋体" w:hAnsi="宋体" w:cs="宋体"/>
          <w:sz w:val="32"/>
          <w:szCs w:val="32"/>
        </w:rPr>
        <w:fldChar w:fldCharType="separate"/>
      </w:r>
      <w:r>
        <w:rPr>
          <w:rFonts w:hint="eastAsia" w:ascii="宋体" w:hAnsi="宋体" w:cs="宋体"/>
          <w:sz w:val="32"/>
          <w:szCs w:val="32"/>
        </w:rPr>
        <w:t>25</w:t>
      </w:r>
      <w:r>
        <w:rPr>
          <w:rFonts w:hint="eastAsia" w:ascii="宋体" w:hAnsi="宋体" w:cs="宋体"/>
          <w:sz w:val="32"/>
          <w:szCs w:val="32"/>
        </w:rPr>
        <w:fldChar w:fldCharType="end"/>
      </w:r>
      <w:r>
        <w:rPr>
          <w:rFonts w:hint="eastAsia" w:ascii="宋体" w:hAnsi="宋体" w:cs="宋体"/>
          <w:sz w:val="32"/>
          <w:szCs w:val="32"/>
        </w:rPr>
        <w:fldChar w:fldCharType="end"/>
      </w:r>
    </w:p>
    <w:p w14:paraId="4538C6EB">
      <w:pPr>
        <w:pStyle w:val="50"/>
        <w:tabs>
          <w:tab w:val="right" w:leader="dot" w:pos="9639"/>
          <w:tab w:val="clear" w:pos="9062"/>
        </w:tabs>
        <w:spacing w:line="600" w:lineRule="exact"/>
        <w:rPr>
          <w:rFonts w:hint="eastAsia" w:ascii="宋体" w:hAnsi="宋体" w:cs="宋体"/>
          <w:sz w:val="32"/>
          <w:szCs w:val="32"/>
        </w:rPr>
      </w:pPr>
      <w:r>
        <w:fldChar w:fldCharType="begin"/>
      </w:r>
      <w:r>
        <w:instrText xml:space="preserve"> HYPERLINK \l "_Toc229" </w:instrText>
      </w:r>
      <w:r>
        <w:fldChar w:fldCharType="separate"/>
      </w:r>
      <w:r>
        <w:rPr>
          <w:rFonts w:hint="eastAsia" w:ascii="宋体" w:hAnsi="宋体" w:cs="宋体"/>
          <w:sz w:val="32"/>
          <w:szCs w:val="32"/>
        </w:rPr>
        <w:t>第五章 合同条款</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_Toc229 \h </w:instrText>
      </w:r>
      <w:r>
        <w:rPr>
          <w:rFonts w:hint="eastAsia" w:ascii="宋体" w:hAnsi="宋体" w:cs="宋体"/>
          <w:sz w:val="32"/>
          <w:szCs w:val="32"/>
        </w:rPr>
        <w:fldChar w:fldCharType="separate"/>
      </w:r>
      <w:r>
        <w:rPr>
          <w:rFonts w:hint="eastAsia" w:ascii="宋体" w:hAnsi="宋体" w:cs="宋体"/>
          <w:sz w:val="32"/>
          <w:szCs w:val="32"/>
        </w:rPr>
        <w:t>41</w:t>
      </w:r>
      <w:r>
        <w:rPr>
          <w:rFonts w:hint="eastAsia" w:ascii="宋体" w:hAnsi="宋体" w:cs="宋体"/>
          <w:sz w:val="32"/>
          <w:szCs w:val="32"/>
        </w:rPr>
        <w:fldChar w:fldCharType="end"/>
      </w:r>
      <w:r>
        <w:rPr>
          <w:rFonts w:hint="eastAsia" w:ascii="宋体" w:hAnsi="宋体" w:cs="宋体"/>
          <w:sz w:val="32"/>
          <w:szCs w:val="32"/>
        </w:rPr>
        <w:fldChar w:fldCharType="end"/>
      </w:r>
    </w:p>
    <w:p w14:paraId="2E33F0E6">
      <w:pPr>
        <w:pStyle w:val="50"/>
        <w:tabs>
          <w:tab w:val="right" w:leader="dot" w:pos="9639"/>
          <w:tab w:val="clear" w:pos="9062"/>
        </w:tabs>
        <w:spacing w:line="600" w:lineRule="exact"/>
      </w:pPr>
      <w:r>
        <w:fldChar w:fldCharType="begin"/>
      </w:r>
      <w:r>
        <w:instrText xml:space="preserve"> HYPERLINK \l "_Toc10139" </w:instrText>
      </w:r>
      <w:r>
        <w:fldChar w:fldCharType="separate"/>
      </w:r>
      <w:r>
        <w:rPr>
          <w:rFonts w:hint="eastAsia" w:ascii="宋体" w:hAnsi="宋体" w:cs="宋体"/>
          <w:sz w:val="32"/>
          <w:szCs w:val="32"/>
        </w:rPr>
        <w:t>第六章 响应文件格式</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_Toc10139 \h </w:instrText>
      </w:r>
      <w:r>
        <w:rPr>
          <w:rFonts w:hint="eastAsia" w:ascii="宋体" w:hAnsi="宋体" w:cs="宋体"/>
          <w:sz w:val="32"/>
          <w:szCs w:val="32"/>
        </w:rPr>
        <w:fldChar w:fldCharType="separate"/>
      </w:r>
      <w:r>
        <w:rPr>
          <w:rFonts w:hint="eastAsia" w:ascii="宋体" w:hAnsi="宋体" w:cs="宋体"/>
          <w:sz w:val="32"/>
          <w:szCs w:val="32"/>
        </w:rPr>
        <w:t>60</w:t>
      </w:r>
      <w:r>
        <w:rPr>
          <w:rFonts w:hint="eastAsia" w:ascii="宋体" w:hAnsi="宋体" w:cs="宋体"/>
          <w:sz w:val="32"/>
          <w:szCs w:val="32"/>
        </w:rPr>
        <w:fldChar w:fldCharType="end"/>
      </w:r>
      <w:r>
        <w:rPr>
          <w:rFonts w:hint="eastAsia" w:ascii="宋体" w:hAnsi="宋体" w:cs="宋体"/>
          <w:sz w:val="32"/>
          <w:szCs w:val="32"/>
        </w:rPr>
        <w:fldChar w:fldCharType="end"/>
      </w:r>
    </w:p>
    <w:p w14:paraId="19AD84FE">
      <w:pPr>
        <w:pStyle w:val="62"/>
        <w:tabs>
          <w:tab w:val="right" w:leader="dot" w:pos="9639"/>
        </w:tabs>
        <w:ind w:left="0" w:leftChars="0"/>
      </w:pPr>
    </w:p>
    <w:p w14:paraId="30D3CB28">
      <w:pPr>
        <w:spacing w:line="480" w:lineRule="auto"/>
      </w:pPr>
      <w:r>
        <w:rPr>
          <w:bCs/>
          <w:szCs w:val="28"/>
          <w:lang w:val="zh-CN"/>
        </w:rPr>
        <w:fldChar w:fldCharType="end"/>
      </w:r>
      <w:r>
        <w:br w:type="page"/>
      </w:r>
    </w:p>
    <w:p w14:paraId="482590ED">
      <w:pPr>
        <w:keepNext/>
        <w:spacing w:line="500" w:lineRule="exact"/>
        <w:jc w:val="center"/>
        <w:outlineLvl w:val="0"/>
        <w:rPr>
          <w:b/>
          <w:bCs/>
          <w:sz w:val="44"/>
          <w:szCs w:val="44"/>
        </w:rPr>
      </w:pPr>
      <w:bookmarkStart w:id="2" w:name="_Toc127516426"/>
      <w:bookmarkStart w:id="3" w:name="_Toc32560"/>
      <w:bookmarkStart w:id="4" w:name="_Toc146236233"/>
      <w:bookmarkStart w:id="5" w:name="_Toc11972"/>
      <w:r>
        <w:rPr>
          <w:rFonts w:hint="eastAsia" w:ascii="宋体" w:hAnsi="宋体" w:cs="宋体"/>
          <w:b/>
          <w:sz w:val="44"/>
          <w:szCs w:val="44"/>
        </w:rPr>
        <w:t>第一章 比选公告</w:t>
      </w:r>
      <w:bookmarkEnd w:id="2"/>
      <w:bookmarkEnd w:id="3"/>
      <w:bookmarkEnd w:id="4"/>
      <w:bookmarkEnd w:id="5"/>
    </w:p>
    <w:p w14:paraId="6435B44E">
      <w:pPr>
        <w:autoSpaceDE w:val="0"/>
        <w:autoSpaceDN w:val="0"/>
        <w:adjustRightInd w:val="0"/>
        <w:snapToGrid w:val="0"/>
        <w:spacing w:before="240" w:line="500" w:lineRule="exact"/>
        <w:jc w:val="center"/>
        <w:rPr>
          <w:rFonts w:hint="eastAsia" w:ascii="宋体" w:hAnsi="宋体" w:cs="宋体"/>
          <w:b/>
          <w:sz w:val="32"/>
          <w:szCs w:val="32"/>
          <w:u w:val="single"/>
        </w:rPr>
      </w:pPr>
      <w:bookmarkStart w:id="6" w:name="_Toc351047846"/>
      <w:bookmarkStart w:id="7" w:name="_Toc224103305"/>
      <w:bookmarkStart w:id="8" w:name="_Toc356925930"/>
      <w:r>
        <w:rPr>
          <w:rFonts w:hint="eastAsia" w:ascii="宋体" w:hAnsi="宋体" w:cs="宋体"/>
          <w:b/>
          <w:sz w:val="32"/>
          <w:szCs w:val="32"/>
          <w:lang w:eastAsia="zh-CN"/>
        </w:rPr>
        <w:t>重庆理工职业学院实训机房改建项目</w:t>
      </w:r>
      <w:r>
        <w:rPr>
          <w:rFonts w:hint="eastAsia" w:ascii="宋体" w:hAnsi="宋体" w:cs="宋体"/>
          <w:b/>
          <w:sz w:val="32"/>
          <w:szCs w:val="32"/>
        </w:rPr>
        <w:t>比选公告</w:t>
      </w:r>
    </w:p>
    <w:bookmarkEnd w:id="6"/>
    <w:bookmarkEnd w:id="7"/>
    <w:bookmarkEnd w:id="8"/>
    <w:p w14:paraId="7B52F6DD">
      <w:pPr>
        <w:tabs>
          <w:tab w:val="left" w:pos="3785"/>
          <w:tab w:val="left" w:pos="5080"/>
        </w:tabs>
        <w:autoSpaceDE w:val="0"/>
        <w:autoSpaceDN w:val="0"/>
        <w:adjustRightInd w:val="0"/>
        <w:snapToGrid w:val="0"/>
        <w:spacing w:line="440" w:lineRule="atLeast"/>
        <w:rPr>
          <w:rFonts w:hint="eastAsia" w:ascii="宋体" w:hAnsi="宋体" w:cs="宋体"/>
          <w:b/>
          <w:szCs w:val="21"/>
        </w:rPr>
      </w:pPr>
      <w:r>
        <w:rPr>
          <w:rFonts w:hint="eastAsia" w:ascii="宋体" w:hAnsi="宋体" w:cs="宋体"/>
          <w:b/>
          <w:szCs w:val="21"/>
        </w:rPr>
        <w:t>1、比选条件</w:t>
      </w:r>
    </w:p>
    <w:p w14:paraId="38D57705">
      <w:pPr>
        <w:snapToGrid w:val="0"/>
        <w:spacing w:line="440" w:lineRule="atLeast"/>
        <w:ind w:firstLine="420" w:firstLineChars="200"/>
        <w:rPr>
          <w:rFonts w:hint="eastAsia" w:ascii="宋体" w:hAnsi="宋体" w:cs="宋体"/>
          <w:b/>
          <w:snapToGrid w:val="0"/>
          <w:w w:val="99"/>
          <w:kern w:val="0"/>
          <w:szCs w:val="21"/>
        </w:rPr>
      </w:pPr>
      <w:r>
        <w:rPr>
          <w:rFonts w:hint="eastAsia" w:ascii="宋体" w:hAnsi="宋体" w:cs="宋体"/>
          <w:szCs w:val="21"/>
        </w:rPr>
        <w:t>本次比选项目</w:t>
      </w:r>
      <w:r>
        <w:rPr>
          <w:rFonts w:hint="eastAsia" w:ascii="宋体" w:hAnsi="宋体" w:cs="宋体"/>
          <w:szCs w:val="21"/>
          <w:lang w:eastAsia="zh-CN"/>
        </w:rPr>
        <w:t>重庆理工职业学院实训机房改建项目</w:t>
      </w:r>
      <w:r>
        <w:rPr>
          <w:rFonts w:hint="eastAsia" w:ascii="宋体" w:hAnsi="宋体" w:cs="宋体"/>
          <w:szCs w:val="21"/>
        </w:rPr>
        <w:t>已具备比选条件，比选人为重庆理工职业学院，资金来源为</w:t>
      </w:r>
      <w:r>
        <w:rPr>
          <w:rFonts w:ascii="宋体" w:hAnsi="宋体" w:cs="宋体"/>
          <w:szCs w:val="21"/>
        </w:rPr>
        <w:t>比选人</w:t>
      </w:r>
      <w:r>
        <w:rPr>
          <w:rFonts w:hint="eastAsia" w:ascii="宋体" w:hAnsi="宋体" w:cs="宋体"/>
          <w:szCs w:val="21"/>
        </w:rPr>
        <w:t>自筹，本项目</w:t>
      </w:r>
      <w:r>
        <w:rPr>
          <w:rFonts w:ascii="宋体" w:hAnsi="宋体" w:cs="宋体"/>
          <w:szCs w:val="21"/>
        </w:rPr>
        <w:t>为</w:t>
      </w:r>
      <w:r>
        <w:rPr>
          <w:rFonts w:hint="eastAsia" w:ascii="宋体" w:hAnsi="宋体" w:cs="宋体"/>
          <w:szCs w:val="21"/>
        </w:rPr>
        <w:t>比选人</w:t>
      </w:r>
      <w:r>
        <w:rPr>
          <w:rFonts w:ascii="宋体" w:hAnsi="宋体" w:cs="宋体"/>
          <w:szCs w:val="21"/>
        </w:rPr>
        <w:t>自</w:t>
      </w:r>
      <w:r>
        <w:rPr>
          <w:rFonts w:hint="eastAsia" w:ascii="宋体" w:hAnsi="宋体" w:cs="宋体"/>
          <w:szCs w:val="21"/>
        </w:rPr>
        <w:t>主</w:t>
      </w:r>
      <w:r>
        <w:rPr>
          <w:rFonts w:ascii="宋体" w:hAnsi="宋体" w:cs="宋体"/>
          <w:szCs w:val="21"/>
        </w:rPr>
        <w:t>采购项目</w:t>
      </w:r>
      <w:r>
        <w:rPr>
          <w:rFonts w:hint="eastAsia" w:ascii="宋体" w:hAnsi="宋体" w:cs="宋体"/>
          <w:szCs w:val="21"/>
        </w:rPr>
        <w:t>，现对该项目进行竞争性比选。</w:t>
      </w:r>
    </w:p>
    <w:p w14:paraId="7043C2AC">
      <w:pPr>
        <w:snapToGrid w:val="0"/>
        <w:spacing w:line="440" w:lineRule="atLeast"/>
        <w:ind w:firstLine="1"/>
        <w:rPr>
          <w:rFonts w:hint="eastAsia" w:ascii="宋体" w:hAnsi="宋体" w:cs="宋体"/>
          <w:b/>
          <w:szCs w:val="21"/>
        </w:rPr>
      </w:pPr>
      <w:r>
        <w:rPr>
          <w:rFonts w:hint="eastAsia" w:ascii="宋体" w:hAnsi="宋体" w:cs="宋体"/>
          <w:b/>
          <w:szCs w:val="21"/>
        </w:rPr>
        <w:t>2、项目概况</w:t>
      </w:r>
    </w:p>
    <w:p w14:paraId="729021BD">
      <w:pPr>
        <w:snapToGrid w:val="0"/>
        <w:spacing w:line="440" w:lineRule="atLeast"/>
        <w:ind w:firstLine="420" w:firstLineChars="200"/>
        <w:rPr>
          <w:rFonts w:hint="eastAsia" w:ascii="宋体" w:hAnsi="宋体" w:cs="宋体"/>
          <w:szCs w:val="21"/>
        </w:rPr>
      </w:pPr>
      <w:r>
        <w:rPr>
          <w:rFonts w:hint="eastAsia" w:ascii="宋体" w:hAnsi="宋体" w:cs="宋体"/>
          <w:szCs w:val="21"/>
        </w:rPr>
        <w:t>2.1</w:t>
      </w:r>
      <w:bookmarkStart w:id="9" w:name="_Toc265234827"/>
      <w:bookmarkStart w:id="10" w:name="_Toc382816230"/>
      <w:r>
        <w:rPr>
          <w:rFonts w:hint="eastAsia" w:ascii="宋体" w:hAnsi="宋体" w:cs="宋体"/>
          <w:szCs w:val="21"/>
        </w:rPr>
        <w:t>项目名称：</w:t>
      </w:r>
      <w:r>
        <w:rPr>
          <w:rFonts w:hint="eastAsia" w:ascii="宋体" w:hAnsi="宋体" w:cs="宋体"/>
          <w:szCs w:val="21"/>
          <w:lang w:eastAsia="zh-CN"/>
        </w:rPr>
        <w:t>重庆理工职业学院实训机房改建项目</w:t>
      </w:r>
      <w:r>
        <w:rPr>
          <w:rFonts w:hint="eastAsia" w:ascii="宋体" w:hAnsi="宋体" w:cs="宋体"/>
          <w:szCs w:val="21"/>
        </w:rPr>
        <w:t>。</w:t>
      </w:r>
    </w:p>
    <w:p w14:paraId="1E6B472C">
      <w:pPr>
        <w:snapToGrid w:val="0"/>
        <w:spacing w:line="440" w:lineRule="atLeast"/>
        <w:ind w:firstLine="420" w:firstLineChars="200"/>
        <w:rPr>
          <w:rFonts w:hint="eastAsia" w:ascii="宋体" w:hAnsi="宋体" w:cs="宋体"/>
          <w:b/>
          <w:szCs w:val="21"/>
        </w:rPr>
      </w:pPr>
      <w:r>
        <w:rPr>
          <w:rFonts w:hint="eastAsia" w:ascii="宋体" w:hAnsi="宋体" w:cs="宋体"/>
          <w:szCs w:val="21"/>
        </w:rPr>
        <w:t>2.2比选内容：重庆理工职业学院实训机房改建，</w:t>
      </w:r>
      <w:r>
        <w:rPr>
          <w:rFonts w:hint="eastAsia" w:ascii="宋体" w:hAnsi="宋体" w:cs="宋体"/>
          <w:szCs w:val="21"/>
          <w:lang w:val="en-US" w:eastAsia="zh-CN"/>
        </w:rPr>
        <w:t>包含大数据学院数字媒体技术专业2503实训室改建、大数据学院1501与3507实训室改建、</w:t>
      </w:r>
      <w:r>
        <w:rPr>
          <w:rFonts w:hint="eastAsia" w:ascii="宋体" w:hAnsi="宋体" w:cs="宋体"/>
          <w:szCs w:val="21"/>
        </w:rPr>
        <w:t>智能工程学院机房实训室建设。</w:t>
      </w:r>
      <w:r>
        <w:rPr>
          <w:rFonts w:hint="eastAsia" w:ascii="宋体" w:hAnsi="宋体" w:cs="宋体"/>
          <w:b/>
          <w:szCs w:val="21"/>
        </w:rPr>
        <w:t>具体内容详见本比选文件“第四章 项目概况及要求”。</w:t>
      </w:r>
    </w:p>
    <w:p w14:paraId="14963209">
      <w:pPr>
        <w:snapToGrid w:val="0"/>
        <w:spacing w:line="440" w:lineRule="atLeast"/>
        <w:ind w:firstLine="420" w:firstLineChars="200"/>
        <w:rPr>
          <w:rFonts w:hint="eastAsia" w:ascii="宋体" w:hAnsi="宋体" w:cs="宋体"/>
          <w:szCs w:val="21"/>
        </w:rPr>
      </w:pPr>
      <w:r>
        <w:rPr>
          <w:rFonts w:hint="eastAsia" w:ascii="宋体" w:hAnsi="宋体" w:cs="宋体"/>
          <w:szCs w:val="21"/>
        </w:rPr>
        <w:t>2.3项目估算：人民币</w:t>
      </w:r>
      <w:r>
        <w:rPr>
          <w:rFonts w:hint="eastAsia" w:ascii="宋体" w:hAnsi="宋体" w:cs="宋体"/>
          <w:szCs w:val="21"/>
          <w:lang w:val="en-US" w:eastAsia="zh-CN"/>
        </w:rPr>
        <w:t>192.75</w:t>
      </w:r>
      <w:r>
        <w:rPr>
          <w:rFonts w:ascii="宋体" w:hAnsi="宋体" w:cs="宋体"/>
          <w:szCs w:val="21"/>
        </w:rPr>
        <w:t>万元</w:t>
      </w:r>
      <w:r>
        <w:rPr>
          <w:rFonts w:hint="eastAsia" w:ascii="宋体" w:hAnsi="宋体" w:cs="宋体"/>
          <w:szCs w:val="21"/>
        </w:rPr>
        <w:t>（含税）</w:t>
      </w:r>
      <w:r>
        <w:rPr>
          <w:rFonts w:ascii="宋体" w:hAnsi="宋体" w:cs="宋体"/>
          <w:szCs w:val="21"/>
        </w:rPr>
        <w:t>。</w:t>
      </w:r>
      <w:bookmarkEnd w:id="9"/>
      <w:bookmarkEnd w:id="10"/>
    </w:p>
    <w:p w14:paraId="610A4EF2">
      <w:pPr>
        <w:snapToGrid w:val="0"/>
        <w:spacing w:line="440" w:lineRule="atLeast"/>
        <w:ind w:firstLine="420" w:firstLineChars="200"/>
        <w:rPr>
          <w:rFonts w:hint="eastAsia" w:ascii="宋体" w:hAnsi="宋体" w:cs="宋体"/>
          <w:szCs w:val="21"/>
        </w:rPr>
      </w:pPr>
      <w:r>
        <w:rPr>
          <w:rFonts w:hint="eastAsia" w:ascii="宋体" w:hAnsi="宋体" w:cs="宋体"/>
          <w:szCs w:val="21"/>
        </w:rPr>
        <w:t>2.</w:t>
      </w:r>
      <w:r>
        <w:rPr>
          <w:rFonts w:ascii="宋体" w:hAnsi="宋体" w:cs="宋体"/>
          <w:szCs w:val="21"/>
        </w:rPr>
        <w:t>5</w:t>
      </w:r>
      <w:r>
        <w:rPr>
          <w:rFonts w:hint="eastAsia" w:ascii="宋体" w:hAnsi="宋体" w:cs="宋体"/>
          <w:szCs w:val="21"/>
        </w:rPr>
        <w:t>交货地点：重庆市巴南区界石镇东城大道588号重庆理工职业学院内。</w:t>
      </w:r>
    </w:p>
    <w:p w14:paraId="63838549">
      <w:pPr>
        <w:snapToGrid w:val="0"/>
        <w:spacing w:line="440" w:lineRule="atLeast"/>
        <w:ind w:firstLine="420" w:firstLineChars="200"/>
        <w:rPr>
          <w:rFonts w:hint="eastAsia" w:ascii="宋体" w:hAnsi="宋体" w:cs="宋体"/>
          <w:szCs w:val="21"/>
          <w:highlight w:val="none"/>
        </w:rPr>
      </w:pPr>
      <w:r>
        <w:rPr>
          <w:rFonts w:ascii="宋体" w:hAnsi="宋体" w:cs="宋体"/>
          <w:szCs w:val="21"/>
          <w:highlight w:val="none"/>
        </w:rPr>
        <w:t>2.6</w:t>
      </w:r>
      <w:r>
        <w:rPr>
          <w:rFonts w:hint="eastAsia" w:ascii="宋体" w:hAnsi="宋体" w:cs="宋体"/>
          <w:szCs w:val="21"/>
          <w:highlight w:val="none"/>
        </w:rPr>
        <w:t>交货期：</w:t>
      </w:r>
      <w:r>
        <w:rPr>
          <w:rFonts w:hint="eastAsia" w:ascii="宋体" w:hAnsi="宋体" w:cs="宋体"/>
          <w:szCs w:val="21"/>
          <w:highlight w:val="none"/>
          <w:lang w:eastAsia="zh-CN"/>
        </w:rPr>
        <w:t>合同签订后，且中选人收到预付款后20个日历天内完成装修、设备交货并完成安装调试</w:t>
      </w:r>
      <w:r>
        <w:rPr>
          <w:rFonts w:hint="eastAsia" w:ascii="宋体" w:hAnsi="宋体" w:cs="宋体"/>
          <w:szCs w:val="21"/>
          <w:highlight w:val="none"/>
        </w:rPr>
        <w:t>。</w:t>
      </w:r>
    </w:p>
    <w:p w14:paraId="479D2686">
      <w:pPr>
        <w:snapToGrid w:val="0"/>
        <w:spacing w:line="440" w:lineRule="atLeast"/>
        <w:rPr>
          <w:rFonts w:hint="eastAsia" w:ascii="宋体" w:hAnsi="宋体" w:cs="宋体"/>
          <w:b/>
          <w:bCs/>
          <w:szCs w:val="21"/>
        </w:rPr>
      </w:pPr>
      <w:r>
        <w:rPr>
          <w:rFonts w:hint="eastAsia" w:ascii="宋体" w:hAnsi="宋体" w:cs="宋体"/>
          <w:b/>
          <w:szCs w:val="21"/>
        </w:rPr>
        <w:t>3、比选供应商资格要求</w:t>
      </w:r>
    </w:p>
    <w:p w14:paraId="72DBB6D2">
      <w:pPr>
        <w:widowControl/>
        <w:snapToGrid w:val="0"/>
        <w:spacing w:line="440" w:lineRule="atLeast"/>
        <w:ind w:firstLine="420" w:firstLineChars="200"/>
        <w:rPr>
          <w:rFonts w:hint="eastAsia" w:ascii="宋体" w:hAnsi="宋体" w:cs="宋体"/>
          <w:szCs w:val="21"/>
        </w:rPr>
      </w:pPr>
      <w:r>
        <w:rPr>
          <w:rFonts w:hint="eastAsia" w:ascii="宋体" w:hAnsi="宋体" w:cs="宋体"/>
          <w:szCs w:val="21"/>
        </w:rPr>
        <w:t>3.1</w:t>
      </w:r>
      <w:bookmarkStart w:id="11" w:name="_Hlk146021009"/>
      <w:r>
        <w:rPr>
          <w:rFonts w:hint="eastAsia" w:ascii="宋体" w:hAnsi="宋体" w:cs="宋体"/>
          <w:szCs w:val="21"/>
        </w:rPr>
        <w:t>比选供应商必须是在中华人民共和国境内注册，能独立承担民事责任的法人或其他组织，具有市场监督管理部门核发的有效的载有统一社会信用代码的营业执照或者其他有效设立证明。</w:t>
      </w:r>
      <w:bookmarkEnd w:id="11"/>
    </w:p>
    <w:p w14:paraId="720195D0">
      <w:pPr>
        <w:widowControl/>
        <w:snapToGrid w:val="0"/>
        <w:spacing w:line="440" w:lineRule="atLeast"/>
        <w:ind w:firstLine="420" w:firstLineChars="200"/>
        <w:rPr>
          <w:rFonts w:hint="eastAsia" w:ascii="宋体" w:hAnsi="宋体" w:cs="宋体"/>
          <w:szCs w:val="21"/>
        </w:rPr>
      </w:pPr>
      <w:r>
        <w:rPr>
          <w:rFonts w:hint="eastAsia" w:ascii="宋体" w:hAnsi="宋体" w:cs="宋体"/>
          <w:szCs w:val="21"/>
        </w:rPr>
        <w:t>3.2比选供应商须具有良好的商业信誉，没有被责令停业、暂停比选（投标）资格，近三年（2023年5月1日起至比选截止日）在“信用中国网”无严重失信主体名单信息记录、在“中国政府采购网”无政府采购严重违法失信行为信息记录、在“国家企业信用信息公示系统”无严重违法失信名单（黑名单）信息记录，比选供应商单位及其法定代表人(或负责人)无行贿行为且在“中国裁判文书网”无行贿犯罪记录。</w:t>
      </w:r>
    </w:p>
    <w:p w14:paraId="41DD52C2">
      <w:pPr>
        <w:widowControl/>
        <w:snapToGrid w:val="0"/>
        <w:spacing w:line="440" w:lineRule="atLeast"/>
        <w:ind w:firstLine="420" w:firstLineChars="200"/>
        <w:rPr>
          <w:rFonts w:hint="eastAsia" w:ascii="宋体" w:hAnsi="宋体" w:cs="宋体"/>
          <w:szCs w:val="21"/>
          <w:highlight w:val="none"/>
        </w:rPr>
      </w:pPr>
      <w:r>
        <w:rPr>
          <w:rFonts w:ascii="宋体" w:hAnsi="宋体" w:cs="宋体"/>
          <w:szCs w:val="21"/>
          <w:highlight w:val="none"/>
        </w:rPr>
        <w:t>3.</w:t>
      </w:r>
      <w:bookmarkStart w:id="12" w:name="_Hlk162215810"/>
      <w:r>
        <w:rPr>
          <w:rFonts w:hint="eastAsia" w:ascii="宋体" w:hAnsi="宋体" w:cs="宋体"/>
          <w:szCs w:val="21"/>
          <w:highlight w:val="none"/>
        </w:rPr>
        <w:t>3比选</w:t>
      </w:r>
      <w:r>
        <w:rPr>
          <w:rFonts w:hint="eastAsia" w:ascii="宋体" w:hAnsi="宋体" w:cs="宋体"/>
          <w:highlight w:val="none"/>
        </w:rPr>
        <w:t>供应商须具有至少一个2023年1月1日至今的与本项目相同或类似的</w:t>
      </w:r>
      <w:r>
        <w:rPr>
          <w:rFonts w:hint="eastAsia" w:ascii="宋体" w:hAnsi="宋体" w:cs="宋体"/>
          <w:highlight w:val="none"/>
          <w:lang w:val="en-US" w:eastAsia="zh-CN"/>
        </w:rPr>
        <w:t>电脑</w:t>
      </w:r>
      <w:r>
        <w:rPr>
          <w:rFonts w:hint="eastAsia" w:ascii="宋体" w:hAnsi="宋体" w:cs="宋体"/>
          <w:highlight w:val="none"/>
        </w:rPr>
        <w:t>供货业绩，业绩金额不少于</w:t>
      </w:r>
      <w:r>
        <w:rPr>
          <w:rFonts w:hint="eastAsia" w:ascii="宋体" w:hAnsi="宋体" w:cs="宋体"/>
          <w:highlight w:val="none"/>
          <w:lang w:val="en-US" w:eastAsia="zh-CN"/>
        </w:rPr>
        <w:t>3</w:t>
      </w:r>
      <w:r>
        <w:rPr>
          <w:rFonts w:hint="eastAsia" w:ascii="宋体" w:hAnsi="宋体" w:cs="宋体"/>
          <w:highlight w:val="none"/>
        </w:rPr>
        <w:t>0万元。</w:t>
      </w:r>
      <w:bookmarkEnd w:id="12"/>
    </w:p>
    <w:p w14:paraId="62BCC29A">
      <w:pPr>
        <w:snapToGrid w:val="0"/>
        <w:spacing w:line="440" w:lineRule="atLeast"/>
        <w:ind w:firstLine="413" w:firstLineChars="197"/>
        <w:rPr>
          <w:rFonts w:hint="eastAsia" w:ascii="宋体" w:hAnsi="宋体" w:cs="宋体"/>
          <w:szCs w:val="21"/>
        </w:rPr>
      </w:pPr>
      <w:r>
        <w:rPr>
          <w:rFonts w:hint="eastAsia" w:ascii="宋体" w:hAnsi="宋体" w:cs="宋体"/>
          <w:szCs w:val="21"/>
        </w:rPr>
        <w:t>3</w:t>
      </w:r>
      <w:r>
        <w:rPr>
          <w:rFonts w:ascii="宋体" w:hAnsi="宋体" w:cs="宋体"/>
          <w:szCs w:val="21"/>
        </w:rPr>
        <w:t>.</w:t>
      </w:r>
      <w:r>
        <w:rPr>
          <w:rFonts w:hint="eastAsia" w:ascii="宋体" w:hAnsi="宋体" w:cs="宋体"/>
          <w:szCs w:val="21"/>
        </w:rPr>
        <w:t>4本次比选不接受联合体</w:t>
      </w:r>
      <w:bookmarkStart w:id="13" w:name="_Hlk160750441"/>
      <w:r>
        <w:rPr>
          <w:rFonts w:hint="eastAsia" w:ascii="宋体" w:hAnsi="宋体" w:cs="宋体"/>
          <w:szCs w:val="21"/>
        </w:rPr>
        <w:t>比选。</w:t>
      </w:r>
      <w:bookmarkEnd w:id="13"/>
    </w:p>
    <w:p w14:paraId="7E827DE2">
      <w:pPr>
        <w:snapToGrid w:val="0"/>
        <w:spacing w:line="440" w:lineRule="atLeast"/>
        <w:rPr>
          <w:rFonts w:hint="eastAsia" w:ascii="宋体" w:hAnsi="宋体" w:cs="宋体"/>
          <w:b/>
          <w:szCs w:val="21"/>
        </w:rPr>
      </w:pPr>
      <w:r>
        <w:rPr>
          <w:rFonts w:hint="eastAsia" w:ascii="宋体" w:hAnsi="宋体" w:cs="宋体"/>
          <w:b/>
          <w:szCs w:val="21"/>
        </w:rPr>
        <w:t>4、比选文件的获取</w:t>
      </w:r>
    </w:p>
    <w:p w14:paraId="6F24558A">
      <w:pPr>
        <w:widowControl/>
        <w:snapToGrid w:val="0"/>
        <w:spacing w:line="440" w:lineRule="atLeast"/>
        <w:ind w:firstLine="420" w:firstLineChars="200"/>
        <w:rPr>
          <w:rFonts w:hint="eastAsia" w:ascii="宋体" w:hAnsi="宋体" w:cs="宋体"/>
          <w:snapToGrid w:val="0"/>
          <w:kern w:val="0"/>
          <w:szCs w:val="21"/>
        </w:rPr>
      </w:pPr>
      <w:bookmarkStart w:id="14" w:name="_Toc428969029"/>
      <w:bookmarkStart w:id="15" w:name="_Toc365899676"/>
      <w:bookmarkStart w:id="16" w:name="_Toc411258064"/>
      <w:bookmarkStart w:id="17" w:name="_Toc326917556"/>
      <w:r>
        <w:rPr>
          <w:rFonts w:hint="eastAsia" w:ascii="宋体" w:hAnsi="宋体" w:cs="宋体"/>
          <w:snapToGrid w:val="0"/>
          <w:kern w:val="0"/>
          <w:szCs w:val="21"/>
        </w:rPr>
        <w:t xml:space="preserve">4.1 </w:t>
      </w:r>
      <w:r>
        <w:rPr>
          <w:rFonts w:hint="eastAsia" w:ascii="宋体" w:hAnsi="宋体"/>
          <w:kern w:val="0"/>
          <w:szCs w:val="21"/>
        </w:rPr>
        <w:t>凡有意参加的比选供应商，</w:t>
      </w:r>
      <w:r>
        <w:rPr>
          <w:rFonts w:hint="eastAsia" w:ascii="宋体" w:hAnsi="宋体" w:cs="宋体"/>
          <w:szCs w:val="21"/>
        </w:rPr>
        <w:t>请于</w:t>
      </w:r>
      <w:r>
        <w:rPr>
          <w:rFonts w:hint="eastAsia" w:ascii="宋体" w:hAnsi="宋体" w:cs="宋体"/>
          <w:szCs w:val="21"/>
          <w:u w:val="single"/>
        </w:rPr>
        <w:t xml:space="preserve"> 2026</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u w:val="single"/>
          <w:lang w:val="en-US" w:eastAsia="zh-CN"/>
        </w:rPr>
        <w:t>5</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 xml:space="preserve">21 </w:t>
      </w:r>
      <w:r>
        <w:rPr>
          <w:rFonts w:hint="eastAsia" w:ascii="宋体" w:hAnsi="宋体" w:cs="宋体"/>
          <w:szCs w:val="21"/>
        </w:rPr>
        <w:t>日起，</w:t>
      </w:r>
      <w:bookmarkStart w:id="18" w:name="_Hlk127516927"/>
      <w:r>
        <w:rPr>
          <w:rFonts w:hint="eastAsia" w:ascii="宋体" w:hAnsi="宋体" w:cs="宋体"/>
          <w:szCs w:val="21"/>
        </w:rPr>
        <w:t>在行采家（https://www.gec123.com/）及重庆理工职业学院官网校企合作一体化招标采购平台（http://www.cqip.com.cn/html/15/Index.shtml）“下载中心”下载本项目比选文件以及补遗等比选前公布的所有项目资料，无论供应商领取或下载与否，均视为已知晓所有比选实质性要求内容。</w:t>
      </w:r>
      <w:bookmarkEnd w:id="18"/>
    </w:p>
    <w:p w14:paraId="5FF27482">
      <w:pPr>
        <w:snapToGrid w:val="0"/>
        <w:spacing w:line="440" w:lineRule="atLeast"/>
        <w:ind w:firstLine="420" w:firstLineChars="200"/>
        <w:rPr>
          <w:rFonts w:hint="eastAsia" w:ascii="宋体" w:hAnsi="宋体" w:cs="宋体"/>
          <w:snapToGrid w:val="0"/>
          <w:kern w:val="0"/>
          <w:szCs w:val="21"/>
        </w:rPr>
      </w:pPr>
      <w:r>
        <w:rPr>
          <w:rFonts w:hint="eastAsia" w:ascii="宋体" w:hAnsi="宋体" w:cs="宋体"/>
          <w:snapToGrid w:val="0"/>
          <w:kern w:val="0"/>
          <w:szCs w:val="21"/>
        </w:rPr>
        <w:t xml:space="preserve">4.2 </w:t>
      </w:r>
      <w:r>
        <w:rPr>
          <w:rFonts w:hint="eastAsia" w:ascii="宋体" w:hAnsi="宋体" w:cs="宋体"/>
          <w:szCs w:val="21"/>
        </w:rPr>
        <w:t>比选文件售价</w:t>
      </w:r>
      <w:r>
        <w:rPr>
          <w:rFonts w:hint="eastAsia" w:ascii="宋体" w:hAnsi="宋体" w:cs="宋体"/>
          <w:szCs w:val="21"/>
          <w:u w:val="single"/>
        </w:rPr>
        <w:t>3</w:t>
      </w:r>
      <w:r>
        <w:rPr>
          <w:rFonts w:ascii="宋体" w:hAnsi="宋体" w:cs="宋体"/>
          <w:szCs w:val="21"/>
          <w:u w:val="single"/>
        </w:rPr>
        <w:t>00</w:t>
      </w:r>
      <w:r>
        <w:rPr>
          <w:rFonts w:hint="eastAsia" w:ascii="宋体" w:hAnsi="宋体" w:cs="宋体"/>
          <w:szCs w:val="21"/>
        </w:rPr>
        <w:t>元/份，递交响应文件时缴纳，售后不退。否则比选人和比选代理机构将拒绝接收其比选响应文件。</w:t>
      </w:r>
    </w:p>
    <w:p w14:paraId="736C9649">
      <w:pPr>
        <w:snapToGrid w:val="0"/>
        <w:spacing w:line="440" w:lineRule="atLeast"/>
        <w:rPr>
          <w:rFonts w:hint="eastAsia" w:ascii="宋体" w:hAnsi="宋体" w:cs="宋体"/>
          <w:szCs w:val="21"/>
        </w:rPr>
      </w:pPr>
      <w:r>
        <w:rPr>
          <w:rFonts w:hint="eastAsia" w:ascii="宋体" w:hAnsi="宋体" w:cs="宋体"/>
          <w:b/>
          <w:szCs w:val="21"/>
        </w:rPr>
        <w:t>5、比选响应文件的递交</w:t>
      </w:r>
      <w:bookmarkEnd w:id="14"/>
      <w:bookmarkEnd w:id="15"/>
      <w:bookmarkEnd w:id="16"/>
      <w:bookmarkEnd w:id="17"/>
    </w:p>
    <w:p w14:paraId="27CE606A">
      <w:pPr>
        <w:snapToGrid w:val="0"/>
        <w:spacing w:line="440" w:lineRule="atLeast"/>
        <w:ind w:firstLine="420" w:firstLineChars="200"/>
        <w:rPr>
          <w:rFonts w:hint="eastAsia" w:ascii="宋体" w:hAnsi="宋体" w:cs="宋体"/>
          <w:szCs w:val="21"/>
        </w:rPr>
      </w:pPr>
      <w:bookmarkStart w:id="19" w:name="_Toc411258065"/>
      <w:bookmarkStart w:id="20" w:name="_Toc428969030"/>
      <w:bookmarkStart w:id="21" w:name="_Toc365899677"/>
      <w:r>
        <w:rPr>
          <w:rFonts w:hint="eastAsia" w:ascii="宋体" w:hAnsi="宋体" w:cs="宋体"/>
          <w:szCs w:val="21"/>
        </w:rPr>
        <w:t>5.</w:t>
      </w:r>
      <w:r>
        <w:rPr>
          <w:rFonts w:ascii="宋体" w:hAnsi="宋体" w:cs="宋体"/>
          <w:szCs w:val="21"/>
        </w:rPr>
        <w:t>1</w:t>
      </w:r>
      <w:r>
        <w:rPr>
          <w:rFonts w:hint="eastAsia" w:ascii="宋体" w:hAnsi="宋体" w:cs="宋体"/>
          <w:szCs w:val="21"/>
        </w:rPr>
        <w:t>比选响应文件递交时间：</w:t>
      </w:r>
      <w:r>
        <w:rPr>
          <w:rFonts w:hint="eastAsia" w:ascii="宋体" w:hAnsi="宋体" w:cs="宋体"/>
          <w:szCs w:val="21"/>
          <w:u w:val="single"/>
        </w:rPr>
        <w:t xml:space="preserve"> 2026</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u w:val="single"/>
          <w:lang w:val="en-US" w:eastAsia="zh-CN"/>
        </w:rPr>
        <w:t>5</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28</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u w:val="single"/>
        </w:rPr>
        <w:t xml:space="preserve"> </w:t>
      </w:r>
      <w:r>
        <w:rPr>
          <w:rFonts w:hint="eastAsia" w:ascii="宋体" w:hAnsi="宋体" w:cs="宋体"/>
          <w:szCs w:val="21"/>
          <w:u w:val="single"/>
          <w:lang w:val="en-US" w:eastAsia="zh-CN"/>
        </w:rPr>
        <w:t>9</w:t>
      </w:r>
      <w:r>
        <w:rPr>
          <w:rFonts w:hint="eastAsia" w:ascii="宋体" w:hAnsi="宋体" w:cs="宋体"/>
          <w:szCs w:val="21"/>
          <w:u w:val="single"/>
        </w:rPr>
        <w:t xml:space="preserve"> </w:t>
      </w:r>
      <w:r>
        <w:rPr>
          <w:rFonts w:hint="eastAsia" w:ascii="宋体" w:hAnsi="宋体" w:cs="宋体"/>
          <w:szCs w:val="21"/>
        </w:rPr>
        <w:t>时</w:t>
      </w:r>
      <w:r>
        <w:rPr>
          <w:rFonts w:hint="eastAsia" w:ascii="宋体" w:hAnsi="宋体" w:cs="宋体"/>
          <w:szCs w:val="21"/>
          <w:u w:val="single"/>
        </w:rPr>
        <w:t xml:space="preserve"> </w:t>
      </w:r>
      <w:r>
        <w:rPr>
          <w:rFonts w:hint="eastAsia" w:ascii="宋体" w:hAnsi="宋体" w:cs="宋体"/>
          <w:szCs w:val="21"/>
          <w:u w:val="single"/>
          <w:lang w:val="en-US" w:eastAsia="zh-CN"/>
        </w:rPr>
        <w:t xml:space="preserve">30 </w:t>
      </w:r>
      <w:r>
        <w:rPr>
          <w:rFonts w:hint="eastAsia" w:ascii="宋体" w:hAnsi="宋体" w:cs="宋体"/>
          <w:szCs w:val="21"/>
        </w:rPr>
        <w:t>分至</w:t>
      </w:r>
      <w:r>
        <w:rPr>
          <w:rFonts w:hint="eastAsia" w:ascii="宋体" w:hAnsi="宋体" w:cs="宋体"/>
          <w:szCs w:val="21"/>
          <w:u w:val="single"/>
        </w:rPr>
        <w:t>2026</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u w:val="single"/>
          <w:lang w:val="en-US" w:eastAsia="zh-CN"/>
        </w:rPr>
        <w:t>5</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28</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u w:val="single"/>
        </w:rPr>
        <w:t xml:space="preserve"> </w:t>
      </w:r>
      <w:r>
        <w:rPr>
          <w:rFonts w:hint="eastAsia" w:ascii="宋体" w:hAnsi="宋体" w:cs="宋体"/>
          <w:szCs w:val="21"/>
          <w:u w:val="single"/>
          <w:lang w:val="en-US" w:eastAsia="zh-CN"/>
        </w:rPr>
        <w:t>10</w:t>
      </w:r>
      <w:r>
        <w:rPr>
          <w:rFonts w:hint="eastAsia" w:ascii="宋体" w:hAnsi="宋体" w:cs="宋体"/>
          <w:szCs w:val="21"/>
          <w:u w:val="single"/>
        </w:rPr>
        <w:t xml:space="preserve"> </w:t>
      </w:r>
      <w:r>
        <w:rPr>
          <w:rFonts w:hint="eastAsia" w:ascii="宋体" w:hAnsi="宋体" w:cs="宋体"/>
          <w:szCs w:val="21"/>
        </w:rPr>
        <w:t>时</w:t>
      </w:r>
      <w:r>
        <w:rPr>
          <w:rFonts w:hint="eastAsia" w:ascii="宋体" w:hAnsi="宋体" w:cs="宋体"/>
          <w:szCs w:val="21"/>
          <w:u w:val="single"/>
        </w:rPr>
        <w:t xml:space="preserve"> </w:t>
      </w:r>
      <w:r>
        <w:rPr>
          <w:rFonts w:hint="eastAsia" w:ascii="宋体" w:hAnsi="宋体" w:cs="宋体"/>
          <w:szCs w:val="21"/>
          <w:u w:val="single"/>
          <w:lang w:val="en-US" w:eastAsia="zh-CN"/>
        </w:rPr>
        <w:t>00</w:t>
      </w:r>
      <w:r>
        <w:rPr>
          <w:rFonts w:hint="eastAsia" w:ascii="宋体" w:hAnsi="宋体" w:cs="宋体"/>
          <w:szCs w:val="21"/>
          <w:u w:val="single"/>
        </w:rPr>
        <w:t xml:space="preserve"> </w:t>
      </w:r>
      <w:r>
        <w:rPr>
          <w:rFonts w:hint="eastAsia" w:ascii="宋体" w:hAnsi="宋体" w:cs="宋体"/>
          <w:szCs w:val="21"/>
        </w:rPr>
        <w:t>分（北京时间）。</w:t>
      </w:r>
    </w:p>
    <w:p w14:paraId="33557995">
      <w:pPr>
        <w:snapToGrid w:val="0"/>
        <w:spacing w:line="440" w:lineRule="atLeast"/>
        <w:ind w:firstLine="420" w:firstLineChars="200"/>
        <w:rPr>
          <w:rFonts w:hint="eastAsia" w:ascii="宋体" w:hAnsi="宋体" w:cs="宋体"/>
          <w:szCs w:val="21"/>
        </w:rPr>
      </w:pPr>
      <w:r>
        <w:rPr>
          <w:rFonts w:hint="eastAsia" w:ascii="宋体" w:hAnsi="宋体" w:cs="宋体"/>
          <w:szCs w:val="21"/>
        </w:rPr>
        <w:t>5.2比选截止时间：</w:t>
      </w:r>
      <w:r>
        <w:rPr>
          <w:rFonts w:hint="eastAsia" w:ascii="宋体" w:hAnsi="宋体" w:cs="宋体"/>
          <w:szCs w:val="21"/>
          <w:u w:val="single"/>
        </w:rPr>
        <w:t>2026</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u w:val="single"/>
          <w:lang w:val="en-US" w:eastAsia="zh-CN"/>
        </w:rPr>
        <w:t>5</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28</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u w:val="single"/>
        </w:rPr>
        <w:t xml:space="preserve"> </w:t>
      </w:r>
      <w:r>
        <w:rPr>
          <w:rFonts w:hint="eastAsia" w:ascii="宋体" w:hAnsi="宋体" w:cs="宋体"/>
          <w:szCs w:val="21"/>
          <w:u w:val="single"/>
          <w:lang w:val="en-US" w:eastAsia="zh-CN"/>
        </w:rPr>
        <w:t>10</w:t>
      </w:r>
      <w:r>
        <w:rPr>
          <w:rFonts w:hint="eastAsia" w:ascii="宋体" w:hAnsi="宋体" w:cs="宋体"/>
          <w:szCs w:val="21"/>
          <w:u w:val="single"/>
        </w:rPr>
        <w:t xml:space="preserve"> </w:t>
      </w:r>
      <w:r>
        <w:rPr>
          <w:rFonts w:hint="eastAsia" w:ascii="宋体" w:hAnsi="宋体" w:cs="宋体"/>
          <w:szCs w:val="21"/>
        </w:rPr>
        <w:t>时</w:t>
      </w:r>
      <w:r>
        <w:rPr>
          <w:rFonts w:hint="eastAsia" w:ascii="宋体" w:hAnsi="宋体" w:cs="宋体"/>
          <w:szCs w:val="21"/>
          <w:u w:val="single"/>
        </w:rPr>
        <w:t xml:space="preserve"> </w:t>
      </w:r>
      <w:r>
        <w:rPr>
          <w:rFonts w:hint="eastAsia" w:ascii="宋体" w:hAnsi="宋体" w:cs="宋体"/>
          <w:szCs w:val="21"/>
          <w:u w:val="single"/>
          <w:lang w:val="en-US" w:eastAsia="zh-CN"/>
        </w:rPr>
        <w:t>00</w:t>
      </w:r>
      <w:r>
        <w:rPr>
          <w:rFonts w:hint="eastAsia" w:ascii="宋体" w:hAnsi="宋体" w:cs="宋体"/>
          <w:szCs w:val="21"/>
          <w:u w:val="single"/>
        </w:rPr>
        <w:t xml:space="preserve"> </w:t>
      </w:r>
      <w:r>
        <w:rPr>
          <w:rFonts w:hint="eastAsia" w:ascii="宋体" w:hAnsi="宋体" w:cs="宋体"/>
          <w:szCs w:val="21"/>
        </w:rPr>
        <w:t>分（北京时间）。</w:t>
      </w:r>
    </w:p>
    <w:p w14:paraId="71261002">
      <w:pPr>
        <w:snapToGrid w:val="0"/>
        <w:spacing w:line="440" w:lineRule="atLeast"/>
        <w:ind w:firstLine="420" w:firstLineChars="200"/>
        <w:rPr>
          <w:rFonts w:hint="eastAsia" w:ascii="宋体" w:hAnsi="宋体" w:cs="宋体"/>
          <w:snapToGrid w:val="0"/>
          <w:kern w:val="0"/>
          <w:szCs w:val="21"/>
        </w:rPr>
      </w:pPr>
      <w:r>
        <w:rPr>
          <w:rFonts w:hint="eastAsia" w:ascii="宋体" w:hAnsi="宋体" w:cs="宋体"/>
          <w:szCs w:val="21"/>
        </w:rPr>
        <w:t>5.3比选响应文件递交地点：</w:t>
      </w:r>
      <w:bookmarkStart w:id="22" w:name="_Hlk535257540"/>
      <w:r>
        <w:rPr>
          <w:rFonts w:hint="eastAsia" w:ascii="宋体" w:hAnsi="宋体" w:cs="宋体"/>
          <w:szCs w:val="21"/>
        </w:rPr>
        <w:t>重庆市巴南区界石镇东城大道588号重庆理工职业学院行政楼527室。</w:t>
      </w:r>
    </w:p>
    <w:bookmarkEnd w:id="22"/>
    <w:p w14:paraId="5C41167C">
      <w:pPr>
        <w:snapToGrid w:val="0"/>
        <w:spacing w:line="440" w:lineRule="atLeast"/>
        <w:ind w:firstLine="420" w:firstLineChars="200"/>
        <w:rPr>
          <w:rFonts w:hint="eastAsia" w:ascii="宋体" w:hAnsi="宋体" w:cs="宋体"/>
          <w:szCs w:val="21"/>
        </w:rPr>
      </w:pPr>
      <w:r>
        <w:rPr>
          <w:rFonts w:hint="eastAsia" w:ascii="宋体" w:hAnsi="宋体" w:cs="宋体"/>
          <w:snapToGrid w:val="0"/>
          <w:kern w:val="0"/>
          <w:szCs w:val="21"/>
        </w:rPr>
        <w:t>5.4逾期送达的或者未送达指定地点的</w:t>
      </w:r>
      <w:r>
        <w:rPr>
          <w:rFonts w:hint="eastAsia" w:ascii="宋体" w:hAnsi="宋体" w:cs="宋体"/>
          <w:szCs w:val="21"/>
        </w:rPr>
        <w:t>比选响应文件</w:t>
      </w:r>
      <w:r>
        <w:rPr>
          <w:rFonts w:hint="eastAsia" w:ascii="宋体" w:hAnsi="宋体" w:cs="宋体"/>
          <w:snapToGrid w:val="0"/>
          <w:kern w:val="0"/>
          <w:szCs w:val="21"/>
        </w:rPr>
        <w:t>，比选人不予受理。</w:t>
      </w:r>
    </w:p>
    <w:p w14:paraId="48087354">
      <w:pPr>
        <w:snapToGrid w:val="0"/>
        <w:spacing w:line="440" w:lineRule="atLeast"/>
        <w:ind w:firstLine="420" w:firstLineChars="200"/>
        <w:rPr>
          <w:rFonts w:hint="eastAsia" w:ascii="宋体" w:hAnsi="宋体" w:cs="宋体"/>
          <w:snapToGrid w:val="0"/>
          <w:kern w:val="0"/>
          <w:szCs w:val="21"/>
        </w:rPr>
      </w:pPr>
      <w:r>
        <w:rPr>
          <w:rFonts w:hint="eastAsia" w:ascii="宋体" w:hAnsi="宋体" w:cs="宋体"/>
          <w:snapToGrid w:val="0"/>
          <w:kern w:val="0"/>
          <w:szCs w:val="21"/>
        </w:rPr>
        <w:t>5.5本次比选</w:t>
      </w:r>
      <w:r>
        <w:rPr>
          <w:rFonts w:hint="eastAsia" w:ascii="宋体" w:hAnsi="宋体" w:cs="宋体"/>
          <w:szCs w:val="21"/>
        </w:rPr>
        <w:t>不接受</w:t>
      </w:r>
      <w:r>
        <w:rPr>
          <w:rFonts w:hint="eastAsia" w:ascii="宋体" w:hAnsi="宋体" w:cs="宋体"/>
          <w:snapToGrid w:val="0"/>
          <w:kern w:val="0"/>
          <w:szCs w:val="21"/>
        </w:rPr>
        <w:t>邮寄。</w:t>
      </w:r>
    </w:p>
    <w:p w14:paraId="073D4705">
      <w:pPr>
        <w:snapToGrid w:val="0"/>
        <w:spacing w:line="440" w:lineRule="atLeast"/>
        <w:rPr>
          <w:rFonts w:hint="eastAsia" w:ascii="宋体" w:hAnsi="宋体" w:cs="宋体"/>
          <w:szCs w:val="21"/>
        </w:rPr>
      </w:pPr>
      <w:r>
        <w:rPr>
          <w:rFonts w:hint="eastAsia" w:ascii="宋体" w:hAnsi="宋体" w:cs="宋体"/>
          <w:b/>
          <w:szCs w:val="21"/>
        </w:rPr>
        <w:t>6、发布公告的媒介</w:t>
      </w:r>
      <w:bookmarkEnd w:id="19"/>
      <w:bookmarkEnd w:id="20"/>
      <w:bookmarkEnd w:id="21"/>
    </w:p>
    <w:p w14:paraId="54DA34B3">
      <w:pPr>
        <w:snapToGrid w:val="0"/>
        <w:spacing w:line="440" w:lineRule="atLeast"/>
        <w:ind w:firstLine="420" w:firstLineChars="200"/>
        <w:rPr>
          <w:rFonts w:hint="eastAsia" w:ascii="宋体" w:hAnsi="宋体" w:cs="宋体"/>
          <w:szCs w:val="21"/>
        </w:rPr>
      </w:pPr>
      <w:r>
        <w:rPr>
          <w:rFonts w:hint="eastAsia" w:ascii="宋体" w:hAnsi="宋体" w:cs="宋体"/>
          <w:szCs w:val="21"/>
        </w:rPr>
        <w:t>本次比选公告在行采家（https://www.gec123.com/）、重庆理工职业学院官网校企合作一体化招标采购平台（http://www.cqip.com.cn/html/15/Index.shtml）网上发布。</w:t>
      </w:r>
    </w:p>
    <w:p w14:paraId="5224A579">
      <w:pPr>
        <w:snapToGrid w:val="0"/>
        <w:spacing w:line="440" w:lineRule="atLeast"/>
        <w:rPr>
          <w:rFonts w:hint="eastAsia" w:ascii="宋体" w:hAnsi="宋体" w:cs="宋体"/>
          <w:b/>
          <w:szCs w:val="21"/>
        </w:rPr>
      </w:pPr>
      <w:r>
        <w:rPr>
          <w:rFonts w:hint="eastAsia" w:ascii="宋体" w:hAnsi="宋体" w:cs="宋体"/>
          <w:b/>
          <w:szCs w:val="21"/>
        </w:rPr>
        <w:t>7、联系方式</w:t>
      </w:r>
    </w:p>
    <w:p w14:paraId="62ECE2C1">
      <w:pPr>
        <w:topLinePunct/>
        <w:snapToGrid w:val="0"/>
        <w:spacing w:line="440" w:lineRule="atLeast"/>
        <w:ind w:firstLine="420" w:firstLineChars="200"/>
        <w:rPr>
          <w:rFonts w:hint="eastAsia" w:ascii="宋体" w:hAnsi="宋体" w:cs="宋体"/>
          <w:szCs w:val="21"/>
        </w:rPr>
      </w:pPr>
      <w:r>
        <w:rPr>
          <w:rFonts w:hint="eastAsia" w:ascii="宋体" w:hAnsi="宋体" w:cs="宋体"/>
          <w:szCs w:val="21"/>
        </w:rPr>
        <w:t>比选人：</w:t>
      </w:r>
      <w:r>
        <w:rPr>
          <w:rFonts w:hint="eastAsia" w:ascii="宋体" w:hAnsi="宋体" w:cs="宋体"/>
          <w:szCs w:val="21"/>
          <w:shd w:val="clear" w:color="auto" w:fill="FFFFFF"/>
        </w:rPr>
        <w:t>重庆理工职业学院</w:t>
      </w:r>
    </w:p>
    <w:p w14:paraId="34C3F11D">
      <w:pPr>
        <w:topLinePunct/>
        <w:snapToGrid w:val="0"/>
        <w:spacing w:line="440" w:lineRule="atLeast"/>
        <w:ind w:firstLine="420" w:firstLineChars="200"/>
        <w:rPr>
          <w:rFonts w:hint="eastAsia" w:ascii="宋体" w:hAnsi="宋体" w:cs="宋体"/>
          <w:szCs w:val="21"/>
        </w:rPr>
      </w:pPr>
      <w:r>
        <w:rPr>
          <w:rFonts w:hint="eastAsia" w:ascii="宋体" w:hAnsi="宋体" w:cs="宋体"/>
          <w:szCs w:val="21"/>
        </w:rPr>
        <w:t>地  址：</w:t>
      </w:r>
      <w:r>
        <w:rPr>
          <w:rFonts w:hint="eastAsia" w:ascii="宋体" w:hAnsi="宋体" w:cs="宋体"/>
          <w:szCs w:val="21"/>
          <w:shd w:val="clear" w:color="auto" w:fill="FFFFFF"/>
        </w:rPr>
        <w:t>重庆市巴南区界石镇东城大道588号</w:t>
      </w:r>
    </w:p>
    <w:p w14:paraId="5C05A7B2">
      <w:pPr>
        <w:topLinePunct/>
        <w:snapToGrid w:val="0"/>
        <w:spacing w:line="440" w:lineRule="atLeast"/>
        <w:ind w:firstLine="420" w:firstLineChars="200"/>
        <w:rPr>
          <w:rFonts w:hint="eastAsia" w:ascii="宋体" w:hAnsi="宋体" w:cs="宋体"/>
          <w:szCs w:val="21"/>
        </w:rPr>
      </w:pPr>
      <w:r>
        <w:rPr>
          <w:rFonts w:hint="eastAsia" w:ascii="宋体" w:hAnsi="宋体" w:cs="宋体"/>
          <w:szCs w:val="21"/>
        </w:rPr>
        <w:t>联系人：</w:t>
      </w:r>
      <w:r>
        <w:rPr>
          <w:rFonts w:hint="eastAsia" w:ascii="宋体" w:hAnsi="宋体" w:cs="宋体"/>
          <w:szCs w:val="21"/>
          <w:shd w:val="clear" w:color="auto" w:fill="FFFFFF"/>
        </w:rPr>
        <w:t>张老师</w:t>
      </w:r>
    </w:p>
    <w:p w14:paraId="5FFF406A">
      <w:pPr>
        <w:topLinePunct/>
        <w:snapToGrid w:val="0"/>
        <w:spacing w:line="440" w:lineRule="atLeast"/>
        <w:ind w:firstLine="420" w:firstLineChars="200"/>
        <w:rPr>
          <w:rFonts w:hint="eastAsia" w:ascii="宋体" w:hAnsi="宋体" w:cs="宋体"/>
          <w:szCs w:val="21"/>
        </w:rPr>
      </w:pPr>
      <w:r>
        <w:rPr>
          <w:rFonts w:hint="eastAsia" w:ascii="宋体" w:hAnsi="宋体" w:cs="宋体"/>
          <w:szCs w:val="21"/>
        </w:rPr>
        <w:t>电  话：</w:t>
      </w:r>
      <w:r>
        <w:rPr>
          <w:rFonts w:hint="eastAsia" w:ascii="宋体" w:hAnsi="宋体" w:cs="宋体"/>
          <w:szCs w:val="21"/>
          <w:shd w:val="clear" w:color="auto" w:fill="FFFFFF"/>
        </w:rPr>
        <w:t>16623604445</w:t>
      </w:r>
    </w:p>
    <w:p w14:paraId="5E56F9CC">
      <w:pPr>
        <w:wordWrap w:val="0"/>
        <w:topLinePunct/>
        <w:spacing w:line="420" w:lineRule="exact"/>
        <w:ind w:firstLine="420" w:firstLineChars="200"/>
        <w:rPr>
          <w:rFonts w:hint="eastAsia" w:ascii="宋体" w:hAnsi="宋体" w:cs="宋体"/>
          <w:szCs w:val="21"/>
        </w:rPr>
      </w:pPr>
    </w:p>
    <w:p w14:paraId="49B9F867">
      <w:pPr>
        <w:wordWrap w:val="0"/>
        <w:topLinePunct/>
        <w:spacing w:line="420" w:lineRule="exact"/>
        <w:ind w:firstLine="420" w:firstLineChars="200"/>
        <w:rPr>
          <w:rFonts w:hint="eastAsia" w:ascii="宋体" w:hAnsi="宋体" w:cs="宋体"/>
          <w:szCs w:val="21"/>
        </w:rPr>
      </w:pPr>
      <w:r>
        <w:rPr>
          <w:rFonts w:hint="eastAsia" w:ascii="宋体" w:hAnsi="宋体" w:cs="宋体"/>
          <w:szCs w:val="21"/>
        </w:rPr>
        <w:t>比选代理机构：</w:t>
      </w:r>
      <w:r>
        <w:rPr>
          <w:rFonts w:hint="eastAsia" w:ascii="宋体" w:hAnsi="宋体" w:cs="宋体"/>
          <w:szCs w:val="21"/>
          <w:shd w:val="clear" w:color="auto" w:fill="FFFFFF"/>
        </w:rPr>
        <w:t>中资国际工程咨询集团有限责任公司</w:t>
      </w:r>
    </w:p>
    <w:p w14:paraId="7E7B5377">
      <w:pPr>
        <w:wordWrap w:val="0"/>
        <w:topLinePunct/>
        <w:spacing w:line="420" w:lineRule="exact"/>
        <w:ind w:firstLine="420" w:firstLineChars="200"/>
        <w:rPr>
          <w:rFonts w:hint="eastAsia" w:ascii="宋体" w:hAnsi="宋体" w:cs="宋体"/>
          <w:szCs w:val="21"/>
        </w:rPr>
      </w:pPr>
      <w:r>
        <w:rPr>
          <w:rFonts w:hint="eastAsia" w:ascii="宋体" w:hAnsi="宋体" w:cs="宋体"/>
          <w:szCs w:val="21"/>
        </w:rPr>
        <w:t>地  址：</w:t>
      </w:r>
      <w:r>
        <w:rPr>
          <w:rFonts w:hint="eastAsia" w:ascii="宋体" w:hAnsi="宋体" w:cs="宋体"/>
          <w:szCs w:val="21"/>
          <w:shd w:val="clear" w:color="auto" w:fill="FFFFFF"/>
        </w:rPr>
        <w:t>重庆市两江新区东湖南路333号中渝爱都会写字楼1栋15-2</w:t>
      </w:r>
    </w:p>
    <w:p w14:paraId="5C3E0A71">
      <w:pPr>
        <w:wordWrap w:val="0"/>
        <w:topLinePunct/>
        <w:spacing w:line="420" w:lineRule="exact"/>
        <w:ind w:firstLine="420" w:firstLineChars="200"/>
        <w:rPr>
          <w:rFonts w:hint="eastAsia" w:ascii="宋体" w:hAnsi="宋体" w:cs="宋体"/>
          <w:szCs w:val="21"/>
        </w:rPr>
      </w:pPr>
      <w:r>
        <w:rPr>
          <w:rFonts w:hint="eastAsia" w:ascii="宋体" w:hAnsi="宋体" w:cs="宋体"/>
          <w:szCs w:val="21"/>
        </w:rPr>
        <w:t>联系人：</w:t>
      </w:r>
      <w:r>
        <w:rPr>
          <w:rFonts w:hint="eastAsia" w:ascii="宋体" w:hAnsi="宋体" w:cs="宋体"/>
          <w:szCs w:val="21"/>
          <w:shd w:val="clear" w:color="auto" w:fill="FFFFFF"/>
        </w:rPr>
        <w:t>刘老师</w:t>
      </w:r>
    </w:p>
    <w:p w14:paraId="532387F6">
      <w:pPr>
        <w:wordWrap w:val="0"/>
        <w:topLinePunct/>
        <w:spacing w:line="420" w:lineRule="exact"/>
        <w:ind w:firstLine="420" w:firstLineChars="200"/>
        <w:rPr>
          <w:rFonts w:hint="eastAsia" w:ascii="宋体" w:hAnsi="宋体" w:cs="宋体"/>
          <w:szCs w:val="21"/>
        </w:rPr>
      </w:pPr>
      <w:r>
        <w:rPr>
          <w:rFonts w:hint="eastAsia" w:ascii="宋体" w:hAnsi="宋体" w:cs="宋体"/>
          <w:szCs w:val="21"/>
        </w:rPr>
        <w:t>电  话：</w:t>
      </w:r>
      <w:r>
        <w:rPr>
          <w:rFonts w:hint="eastAsia" w:ascii="宋体" w:hAnsi="宋体" w:cs="宋体"/>
          <w:szCs w:val="21"/>
          <w:shd w:val="clear" w:color="auto" w:fill="FFFFFF"/>
        </w:rPr>
        <w:t>023-63415172、023-63115669</w:t>
      </w:r>
    </w:p>
    <w:p w14:paraId="1523CC53">
      <w:pPr>
        <w:topLinePunct/>
        <w:spacing w:line="420" w:lineRule="exact"/>
        <w:ind w:right="1259" w:firstLine="308" w:firstLineChars="147"/>
        <w:jc w:val="right"/>
        <w:rPr>
          <w:rFonts w:hint="eastAsia" w:ascii="宋体" w:hAnsi="宋体" w:cs="宋体"/>
          <w:kern w:val="0"/>
          <w:szCs w:val="21"/>
        </w:rPr>
      </w:pPr>
    </w:p>
    <w:p w14:paraId="19624B78">
      <w:pPr>
        <w:rPr>
          <w:rFonts w:hint="eastAsia" w:ascii="宋体" w:hAnsi="宋体" w:cs="宋体"/>
          <w:b/>
          <w:sz w:val="44"/>
          <w:szCs w:val="44"/>
        </w:rPr>
      </w:pPr>
      <w:bookmarkStart w:id="23" w:name="_Toc146236234"/>
      <w:r>
        <w:rPr>
          <w:rFonts w:hint="eastAsia" w:ascii="宋体" w:hAnsi="宋体" w:cs="宋体"/>
          <w:b/>
          <w:sz w:val="44"/>
          <w:szCs w:val="44"/>
        </w:rPr>
        <w:br w:type="page"/>
      </w:r>
    </w:p>
    <w:p w14:paraId="6AF600B9"/>
    <w:p w14:paraId="7A86BA01">
      <w:pPr>
        <w:keepNext/>
        <w:spacing w:line="360" w:lineRule="auto"/>
        <w:jc w:val="center"/>
        <w:outlineLvl w:val="0"/>
        <w:rPr>
          <w:rFonts w:hint="eastAsia" w:ascii="宋体" w:hAnsi="宋体" w:cs="宋体"/>
          <w:b/>
          <w:sz w:val="44"/>
          <w:szCs w:val="44"/>
        </w:rPr>
      </w:pPr>
      <w:bookmarkStart w:id="24" w:name="_Toc29475"/>
      <w:bookmarkStart w:id="25" w:name="_Toc15648"/>
      <w:r>
        <w:rPr>
          <w:rFonts w:hint="eastAsia" w:ascii="宋体" w:hAnsi="宋体" w:cs="宋体"/>
          <w:b/>
          <w:sz w:val="44"/>
          <w:szCs w:val="44"/>
        </w:rPr>
        <w:t>第二章  比选供应商须知</w:t>
      </w:r>
      <w:bookmarkEnd w:id="23"/>
      <w:bookmarkEnd w:id="24"/>
      <w:bookmarkEnd w:id="25"/>
    </w:p>
    <w:p w14:paraId="1D9AC1DC">
      <w:pPr>
        <w:adjustRightInd w:val="0"/>
        <w:snapToGrid w:val="0"/>
        <w:spacing w:line="420" w:lineRule="exact"/>
        <w:ind w:left="-315" w:leftChars="-150" w:firstLine="422" w:firstLineChars="200"/>
        <w:jc w:val="center"/>
        <w:rPr>
          <w:rFonts w:hint="eastAsia" w:ascii="宋体" w:hAnsi="宋体" w:cs="宋体"/>
          <w:b/>
          <w:szCs w:val="21"/>
        </w:rPr>
      </w:pPr>
      <w:r>
        <w:rPr>
          <w:rFonts w:hint="eastAsia" w:ascii="宋体" w:hAnsi="宋体" w:cs="宋体"/>
          <w:b/>
          <w:szCs w:val="21"/>
        </w:rPr>
        <w:t>比选供应商须知前附表</w:t>
      </w:r>
    </w:p>
    <w:p w14:paraId="550BD463">
      <w:pPr>
        <w:adjustRightInd w:val="0"/>
        <w:snapToGrid w:val="0"/>
        <w:spacing w:line="420" w:lineRule="exact"/>
        <w:ind w:left="-315" w:leftChars="-150" w:firstLine="422" w:firstLineChars="200"/>
        <w:rPr>
          <w:rFonts w:hint="eastAsia" w:ascii="宋体" w:hAnsi="宋体" w:cs="宋体"/>
          <w:bCs/>
          <w:i/>
          <w:szCs w:val="21"/>
        </w:rPr>
      </w:pPr>
      <w:r>
        <w:rPr>
          <w:rFonts w:hint="eastAsia" w:ascii="宋体" w:hAnsi="宋体" w:cs="宋体"/>
          <w:b/>
          <w:szCs w:val="21"/>
        </w:rPr>
        <w:t>“比选供应商须知前附表”是对“比选供应商须知”正文相关内容条款的具体补充或修改，如有矛盾，应以本前附表为准。若有补遗澄清说明的，以补遗澄清说明为准。</w:t>
      </w:r>
    </w:p>
    <w:tbl>
      <w:tblPr>
        <w:tblStyle w:val="75"/>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2"/>
        <w:gridCol w:w="1417"/>
        <w:gridCol w:w="6804"/>
      </w:tblGrid>
      <w:tr w14:paraId="37BB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2" w:type="dxa"/>
          </w:tcPr>
          <w:p w14:paraId="41DFAE09">
            <w:pPr>
              <w:adjustRightInd w:val="0"/>
              <w:snapToGrid w:val="0"/>
              <w:spacing w:line="400" w:lineRule="exact"/>
              <w:jc w:val="center"/>
              <w:rPr>
                <w:rFonts w:hint="eastAsia" w:ascii="宋体" w:hAnsi="宋体" w:cs="宋体"/>
                <w:b/>
                <w:szCs w:val="21"/>
              </w:rPr>
            </w:pPr>
            <w:r>
              <w:rPr>
                <w:rFonts w:hint="eastAsia" w:ascii="宋体" w:hAnsi="宋体" w:cs="宋体"/>
                <w:b/>
                <w:szCs w:val="21"/>
              </w:rPr>
              <w:t>条款号</w:t>
            </w:r>
          </w:p>
        </w:tc>
        <w:tc>
          <w:tcPr>
            <w:tcW w:w="8221" w:type="dxa"/>
            <w:gridSpan w:val="2"/>
            <w:vAlign w:val="center"/>
          </w:tcPr>
          <w:p w14:paraId="3D246177">
            <w:pPr>
              <w:adjustRightInd w:val="0"/>
              <w:snapToGrid w:val="0"/>
              <w:spacing w:line="400" w:lineRule="exact"/>
              <w:jc w:val="center"/>
              <w:rPr>
                <w:rFonts w:hint="eastAsia" w:ascii="宋体" w:hAnsi="宋体" w:cs="宋体"/>
                <w:b/>
                <w:szCs w:val="21"/>
              </w:rPr>
            </w:pPr>
            <w:r>
              <w:rPr>
                <w:rFonts w:hint="eastAsia" w:ascii="宋体" w:hAnsi="宋体" w:cs="宋体"/>
                <w:b/>
                <w:szCs w:val="21"/>
              </w:rPr>
              <w:t>内        容</w:t>
            </w:r>
          </w:p>
        </w:tc>
      </w:tr>
      <w:tr w14:paraId="1BAD3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3" w:type="dxa"/>
            <w:gridSpan w:val="3"/>
            <w:vAlign w:val="center"/>
          </w:tcPr>
          <w:p w14:paraId="40DA8F03">
            <w:pPr>
              <w:adjustRightInd w:val="0"/>
              <w:snapToGrid w:val="0"/>
              <w:spacing w:line="400" w:lineRule="exact"/>
              <w:jc w:val="center"/>
              <w:rPr>
                <w:rFonts w:hint="eastAsia" w:ascii="宋体" w:hAnsi="宋体" w:cs="宋体"/>
                <w:b/>
                <w:szCs w:val="21"/>
              </w:rPr>
            </w:pPr>
            <w:r>
              <w:rPr>
                <w:rFonts w:hint="eastAsia" w:ascii="宋体" w:hAnsi="宋体" w:cs="宋体"/>
                <w:b/>
                <w:szCs w:val="21"/>
              </w:rPr>
              <w:t>1  总 则</w:t>
            </w:r>
          </w:p>
        </w:tc>
      </w:tr>
      <w:tr w14:paraId="3C1D8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112" w:type="dxa"/>
            <w:vAlign w:val="center"/>
          </w:tcPr>
          <w:p w14:paraId="5EC292EB">
            <w:pPr>
              <w:adjustRightInd w:val="0"/>
              <w:snapToGrid w:val="0"/>
              <w:spacing w:line="400" w:lineRule="exact"/>
              <w:jc w:val="center"/>
              <w:rPr>
                <w:rFonts w:hint="eastAsia" w:ascii="宋体" w:hAnsi="宋体" w:cs="宋体"/>
                <w:szCs w:val="21"/>
              </w:rPr>
            </w:pPr>
            <w:r>
              <w:rPr>
                <w:rFonts w:hint="eastAsia" w:ascii="宋体" w:hAnsi="宋体" w:cs="宋体"/>
                <w:szCs w:val="21"/>
              </w:rPr>
              <w:t>1.1</w:t>
            </w:r>
          </w:p>
        </w:tc>
        <w:tc>
          <w:tcPr>
            <w:tcW w:w="1417" w:type="dxa"/>
            <w:vAlign w:val="center"/>
          </w:tcPr>
          <w:p w14:paraId="698B2B78">
            <w:pPr>
              <w:adjustRightInd w:val="0"/>
              <w:snapToGrid w:val="0"/>
              <w:spacing w:line="400" w:lineRule="exact"/>
              <w:jc w:val="center"/>
              <w:rPr>
                <w:rFonts w:hint="eastAsia" w:ascii="宋体" w:hAnsi="宋体" w:cs="宋体"/>
                <w:szCs w:val="21"/>
              </w:rPr>
            </w:pPr>
            <w:r>
              <w:rPr>
                <w:rFonts w:hint="eastAsia" w:ascii="宋体" w:hAnsi="宋体" w:cs="宋体"/>
                <w:szCs w:val="21"/>
              </w:rPr>
              <w:t>项目名称</w:t>
            </w:r>
          </w:p>
        </w:tc>
        <w:tc>
          <w:tcPr>
            <w:tcW w:w="6804" w:type="dxa"/>
            <w:vAlign w:val="center"/>
          </w:tcPr>
          <w:p w14:paraId="1B0F7C3A">
            <w:pPr>
              <w:adjustRightInd w:val="0"/>
              <w:snapToGrid w:val="0"/>
              <w:spacing w:line="400" w:lineRule="exact"/>
              <w:ind w:firstLine="420" w:firstLineChars="200"/>
              <w:jc w:val="left"/>
              <w:rPr>
                <w:rFonts w:hint="eastAsia" w:ascii="宋体" w:hAnsi="宋体" w:eastAsia="宋体" w:cs="宋体"/>
                <w:szCs w:val="21"/>
                <w:lang w:eastAsia="zh-CN"/>
              </w:rPr>
            </w:pPr>
            <w:r>
              <w:rPr>
                <w:rFonts w:hint="eastAsia" w:ascii="宋体" w:hAnsi="宋体" w:cs="宋体"/>
                <w:kern w:val="0"/>
                <w:szCs w:val="21"/>
                <w:lang w:eastAsia="zh-CN"/>
              </w:rPr>
              <w:t>重庆理工职业学院实训机房改建项目</w:t>
            </w:r>
          </w:p>
        </w:tc>
      </w:tr>
      <w:tr w14:paraId="00297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2" w:type="dxa"/>
            <w:vAlign w:val="center"/>
          </w:tcPr>
          <w:p w14:paraId="5458EFA7">
            <w:pPr>
              <w:adjustRightInd w:val="0"/>
              <w:snapToGrid w:val="0"/>
              <w:spacing w:line="400" w:lineRule="exact"/>
              <w:jc w:val="center"/>
              <w:rPr>
                <w:rFonts w:hint="eastAsia" w:ascii="宋体" w:hAnsi="宋体" w:cs="宋体"/>
                <w:szCs w:val="21"/>
              </w:rPr>
            </w:pPr>
            <w:r>
              <w:rPr>
                <w:rFonts w:hint="eastAsia" w:ascii="宋体" w:hAnsi="宋体" w:cs="宋体"/>
                <w:szCs w:val="21"/>
              </w:rPr>
              <w:t>1.2</w:t>
            </w:r>
          </w:p>
        </w:tc>
        <w:tc>
          <w:tcPr>
            <w:tcW w:w="1417" w:type="dxa"/>
            <w:vAlign w:val="center"/>
          </w:tcPr>
          <w:p w14:paraId="72EECEDA">
            <w:pPr>
              <w:adjustRightInd w:val="0"/>
              <w:snapToGrid w:val="0"/>
              <w:spacing w:line="400" w:lineRule="exact"/>
              <w:jc w:val="center"/>
              <w:rPr>
                <w:rFonts w:hint="eastAsia" w:ascii="宋体" w:hAnsi="宋体" w:cs="宋体"/>
                <w:szCs w:val="21"/>
              </w:rPr>
            </w:pPr>
            <w:r>
              <w:rPr>
                <w:rFonts w:hint="eastAsia" w:ascii="宋体" w:hAnsi="宋体" w:cs="宋体"/>
                <w:szCs w:val="21"/>
              </w:rPr>
              <w:t>资金来源</w:t>
            </w:r>
          </w:p>
        </w:tc>
        <w:tc>
          <w:tcPr>
            <w:tcW w:w="6804" w:type="dxa"/>
            <w:vAlign w:val="center"/>
          </w:tcPr>
          <w:p w14:paraId="4E8284B2">
            <w:pPr>
              <w:adjustRightInd w:val="0"/>
              <w:snapToGrid w:val="0"/>
              <w:spacing w:line="400" w:lineRule="exact"/>
              <w:ind w:firstLine="420" w:firstLineChars="200"/>
              <w:jc w:val="left"/>
              <w:rPr>
                <w:rFonts w:hint="eastAsia" w:ascii="宋体" w:hAnsi="宋体" w:cs="宋体"/>
                <w:szCs w:val="21"/>
              </w:rPr>
            </w:pPr>
            <w:r>
              <w:rPr>
                <w:rFonts w:hint="eastAsia" w:ascii="宋体" w:hAnsi="宋体"/>
                <w:kern w:val="0"/>
                <w:szCs w:val="21"/>
              </w:rPr>
              <w:t>自筹资金</w:t>
            </w:r>
            <w:r>
              <w:rPr>
                <w:rFonts w:hint="eastAsia" w:ascii="宋体" w:hAnsi="宋体"/>
                <w:szCs w:val="21"/>
              </w:rPr>
              <w:t>。</w:t>
            </w:r>
          </w:p>
        </w:tc>
      </w:tr>
      <w:tr w14:paraId="356AE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2" w:type="dxa"/>
            <w:vAlign w:val="center"/>
          </w:tcPr>
          <w:p w14:paraId="510B8705">
            <w:pPr>
              <w:adjustRightInd w:val="0"/>
              <w:snapToGrid w:val="0"/>
              <w:spacing w:line="400" w:lineRule="exact"/>
              <w:jc w:val="center"/>
              <w:rPr>
                <w:rFonts w:hint="eastAsia" w:ascii="宋体" w:hAnsi="宋体" w:cs="宋体"/>
                <w:szCs w:val="21"/>
              </w:rPr>
            </w:pPr>
            <w:r>
              <w:rPr>
                <w:rFonts w:hint="eastAsia" w:ascii="宋体" w:hAnsi="宋体" w:cs="宋体"/>
                <w:szCs w:val="21"/>
              </w:rPr>
              <w:t>1.3.1</w:t>
            </w:r>
          </w:p>
        </w:tc>
        <w:tc>
          <w:tcPr>
            <w:tcW w:w="1417" w:type="dxa"/>
            <w:vAlign w:val="center"/>
          </w:tcPr>
          <w:p w14:paraId="4247A568">
            <w:pPr>
              <w:adjustRightInd w:val="0"/>
              <w:snapToGrid w:val="0"/>
              <w:spacing w:line="400" w:lineRule="exact"/>
              <w:jc w:val="center"/>
              <w:rPr>
                <w:rFonts w:hint="eastAsia" w:ascii="宋体" w:hAnsi="宋体" w:cs="宋体"/>
                <w:szCs w:val="21"/>
              </w:rPr>
            </w:pPr>
            <w:r>
              <w:rPr>
                <w:rFonts w:hint="eastAsia" w:ascii="宋体" w:hAnsi="宋体" w:cs="宋体"/>
                <w:szCs w:val="21"/>
              </w:rPr>
              <w:t>比选人</w:t>
            </w:r>
          </w:p>
        </w:tc>
        <w:tc>
          <w:tcPr>
            <w:tcW w:w="6804" w:type="dxa"/>
            <w:vAlign w:val="center"/>
          </w:tcPr>
          <w:p w14:paraId="51A15FCC">
            <w:pPr>
              <w:wordWrap w:val="0"/>
              <w:topLinePunct/>
              <w:adjustRightInd w:val="0"/>
              <w:spacing w:line="400" w:lineRule="exact"/>
              <w:ind w:left="-27" w:leftChars="-13" w:firstLine="420" w:firstLineChars="200"/>
              <w:rPr>
                <w:rFonts w:hint="eastAsia" w:ascii="宋体" w:hAnsi="宋体" w:cs="宋体"/>
                <w:kern w:val="0"/>
                <w:szCs w:val="21"/>
              </w:rPr>
            </w:pPr>
            <w:r>
              <w:rPr>
                <w:rFonts w:hint="eastAsia" w:ascii="宋体" w:hAnsi="宋体" w:cs="宋体"/>
                <w:kern w:val="0"/>
                <w:szCs w:val="21"/>
              </w:rPr>
              <w:t>名    称：重庆理工职业学院</w:t>
            </w:r>
          </w:p>
          <w:p w14:paraId="36E4E6DB">
            <w:pPr>
              <w:wordWrap w:val="0"/>
              <w:topLinePunct/>
              <w:adjustRightInd w:val="0"/>
              <w:spacing w:line="400" w:lineRule="exact"/>
              <w:ind w:left="-27" w:leftChars="-13" w:firstLine="420" w:firstLineChars="200"/>
              <w:rPr>
                <w:rFonts w:hint="eastAsia" w:ascii="宋体" w:hAnsi="宋体" w:cs="宋体"/>
                <w:kern w:val="0"/>
                <w:szCs w:val="21"/>
              </w:rPr>
            </w:pPr>
            <w:r>
              <w:rPr>
                <w:rFonts w:hint="eastAsia" w:ascii="宋体" w:hAnsi="宋体" w:cs="宋体"/>
                <w:kern w:val="0"/>
                <w:szCs w:val="21"/>
              </w:rPr>
              <w:t>地    址：重庆市巴南区界石镇东城大道588号</w:t>
            </w:r>
          </w:p>
          <w:p w14:paraId="06793FEC">
            <w:pPr>
              <w:wordWrap w:val="0"/>
              <w:topLinePunct/>
              <w:adjustRightInd w:val="0"/>
              <w:spacing w:line="400" w:lineRule="exact"/>
              <w:ind w:left="-27" w:leftChars="-13" w:firstLine="420" w:firstLineChars="200"/>
              <w:rPr>
                <w:rFonts w:hint="eastAsia" w:ascii="宋体" w:hAnsi="宋体" w:cs="宋体"/>
                <w:kern w:val="0"/>
                <w:szCs w:val="21"/>
              </w:rPr>
            </w:pPr>
            <w:r>
              <w:rPr>
                <w:rFonts w:hint="eastAsia" w:ascii="宋体" w:hAnsi="宋体" w:cs="宋体"/>
                <w:kern w:val="0"/>
                <w:szCs w:val="21"/>
              </w:rPr>
              <w:t>联 系 人：张老师</w:t>
            </w:r>
          </w:p>
          <w:p w14:paraId="7495E479">
            <w:pPr>
              <w:tabs>
                <w:tab w:val="left" w:pos="4536"/>
              </w:tabs>
              <w:spacing w:line="400" w:lineRule="exact"/>
              <w:ind w:firstLine="420" w:firstLineChars="200"/>
              <w:rPr>
                <w:rFonts w:hint="eastAsia" w:ascii="宋体" w:hAnsi="宋体" w:cs="宋体"/>
                <w:bCs/>
                <w:spacing w:val="-8"/>
                <w:szCs w:val="21"/>
                <w:u w:val="single"/>
              </w:rPr>
            </w:pPr>
            <w:r>
              <w:rPr>
                <w:rFonts w:hint="eastAsia" w:ascii="宋体" w:hAnsi="宋体" w:cs="宋体"/>
                <w:kern w:val="0"/>
                <w:szCs w:val="21"/>
              </w:rPr>
              <w:t>联系电话：16623604445</w:t>
            </w:r>
          </w:p>
        </w:tc>
      </w:tr>
      <w:tr w14:paraId="3AF86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2" w:type="dxa"/>
            <w:vAlign w:val="center"/>
          </w:tcPr>
          <w:p w14:paraId="61644C3B">
            <w:pPr>
              <w:adjustRightInd w:val="0"/>
              <w:snapToGrid w:val="0"/>
              <w:spacing w:line="400" w:lineRule="exact"/>
              <w:jc w:val="center"/>
              <w:rPr>
                <w:rFonts w:hint="eastAsia" w:ascii="宋体" w:hAnsi="宋体" w:cs="宋体"/>
                <w:szCs w:val="21"/>
              </w:rPr>
            </w:pPr>
            <w:r>
              <w:rPr>
                <w:rFonts w:hint="eastAsia" w:ascii="宋体" w:hAnsi="宋体" w:cs="宋体"/>
                <w:szCs w:val="21"/>
              </w:rPr>
              <w:t>1.3.2</w:t>
            </w:r>
          </w:p>
        </w:tc>
        <w:tc>
          <w:tcPr>
            <w:tcW w:w="1417" w:type="dxa"/>
            <w:vAlign w:val="center"/>
          </w:tcPr>
          <w:p w14:paraId="5FCD6612">
            <w:pPr>
              <w:adjustRightInd w:val="0"/>
              <w:snapToGrid w:val="0"/>
              <w:spacing w:line="400" w:lineRule="exact"/>
              <w:jc w:val="center"/>
              <w:rPr>
                <w:rFonts w:hint="eastAsia" w:ascii="宋体" w:hAnsi="宋体" w:cs="宋体"/>
                <w:szCs w:val="21"/>
              </w:rPr>
            </w:pPr>
            <w:r>
              <w:rPr>
                <w:rFonts w:hint="eastAsia" w:ascii="宋体" w:hAnsi="宋体" w:cs="宋体"/>
                <w:szCs w:val="21"/>
              </w:rPr>
              <w:t>比选代理机构</w:t>
            </w:r>
          </w:p>
        </w:tc>
        <w:tc>
          <w:tcPr>
            <w:tcW w:w="6804" w:type="dxa"/>
            <w:vAlign w:val="center"/>
          </w:tcPr>
          <w:p w14:paraId="65D1BD4B">
            <w:pPr>
              <w:wordWrap w:val="0"/>
              <w:topLinePunct/>
              <w:spacing w:line="400" w:lineRule="exact"/>
              <w:ind w:firstLine="420" w:firstLineChars="200"/>
              <w:rPr>
                <w:rFonts w:hint="eastAsia" w:ascii="宋体" w:hAnsi="宋体" w:cs="宋体"/>
                <w:bCs/>
                <w:szCs w:val="21"/>
              </w:rPr>
            </w:pPr>
            <w:r>
              <w:rPr>
                <w:rFonts w:hint="eastAsia" w:ascii="宋体" w:hAnsi="宋体" w:cs="宋体"/>
                <w:szCs w:val="21"/>
              </w:rPr>
              <w:t>比选代理机构</w:t>
            </w:r>
            <w:r>
              <w:rPr>
                <w:rFonts w:hint="eastAsia" w:ascii="宋体" w:hAnsi="宋体" w:cs="宋体"/>
                <w:bCs/>
                <w:szCs w:val="21"/>
              </w:rPr>
              <w:t>：</w:t>
            </w:r>
            <w:r>
              <w:rPr>
                <w:rFonts w:hint="eastAsia" w:ascii="宋体" w:hAnsi="宋体" w:cs="宋体"/>
                <w:szCs w:val="21"/>
                <w:shd w:val="clear" w:color="auto" w:fill="FFFFFF"/>
              </w:rPr>
              <w:t>中资国际工程咨询集团有限责任公司</w:t>
            </w:r>
          </w:p>
          <w:p w14:paraId="3A57D0A5">
            <w:pPr>
              <w:wordWrap w:val="0"/>
              <w:topLinePunct/>
              <w:spacing w:line="400" w:lineRule="exact"/>
              <w:ind w:firstLine="420" w:firstLineChars="200"/>
              <w:rPr>
                <w:rFonts w:hint="eastAsia" w:ascii="宋体" w:hAnsi="宋体" w:cs="宋体"/>
                <w:bCs/>
                <w:szCs w:val="21"/>
              </w:rPr>
            </w:pPr>
            <w:r>
              <w:rPr>
                <w:rFonts w:hint="eastAsia" w:ascii="宋体" w:hAnsi="宋体" w:cs="宋体"/>
                <w:bCs/>
                <w:szCs w:val="21"/>
              </w:rPr>
              <w:t>地  址：</w:t>
            </w:r>
            <w:r>
              <w:rPr>
                <w:rFonts w:hint="eastAsia" w:ascii="宋体" w:hAnsi="宋体" w:cs="宋体"/>
                <w:szCs w:val="21"/>
                <w:shd w:val="clear" w:color="auto" w:fill="FFFFFF"/>
              </w:rPr>
              <w:t>重庆市两江区东湖南路333号中渝爱都会写字楼1栋15-2</w:t>
            </w:r>
          </w:p>
          <w:p w14:paraId="55EC2115">
            <w:pPr>
              <w:wordWrap w:val="0"/>
              <w:topLinePunct/>
              <w:spacing w:line="400" w:lineRule="exact"/>
              <w:ind w:firstLine="420" w:firstLineChars="200"/>
              <w:rPr>
                <w:rFonts w:hint="eastAsia" w:ascii="宋体" w:hAnsi="宋体" w:cs="宋体"/>
                <w:bCs/>
                <w:szCs w:val="21"/>
              </w:rPr>
            </w:pPr>
            <w:r>
              <w:rPr>
                <w:rFonts w:hint="eastAsia" w:ascii="宋体" w:hAnsi="宋体" w:cs="宋体"/>
                <w:bCs/>
                <w:szCs w:val="21"/>
              </w:rPr>
              <w:t>联系人：</w:t>
            </w:r>
            <w:r>
              <w:rPr>
                <w:rFonts w:hint="eastAsia" w:ascii="宋体" w:hAnsi="宋体" w:cs="宋体"/>
                <w:szCs w:val="21"/>
                <w:shd w:val="clear" w:color="auto" w:fill="FFFFFF"/>
              </w:rPr>
              <w:t>刘老师</w:t>
            </w:r>
          </w:p>
          <w:p w14:paraId="5EBE05FB">
            <w:pPr>
              <w:tabs>
                <w:tab w:val="left" w:pos="4536"/>
              </w:tabs>
              <w:spacing w:line="400" w:lineRule="exact"/>
              <w:ind w:firstLine="420" w:firstLineChars="200"/>
              <w:rPr>
                <w:rFonts w:hint="eastAsia" w:ascii="宋体" w:hAnsi="宋体" w:cs="宋体"/>
                <w:bCs/>
                <w:spacing w:val="-8"/>
                <w:szCs w:val="21"/>
                <w:u w:val="single"/>
              </w:rPr>
            </w:pPr>
            <w:r>
              <w:rPr>
                <w:rFonts w:hint="eastAsia" w:ascii="宋体" w:hAnsi="宋体" w:cs="宋体"/>
                <w:bCs/>
                <w:szCs w:val="21"/>
              </w:rPr>
              <w:t>电  话：</w:t>
            </w:r>
            <w:r>
              <w:rPr>
                <w:rFonts w:hint="eastAsia" w:ascii="宋体" w:hAnsi="宋体" w:cs="宋体"/>
                <w:szCs w:val="21"/>
                <w:shd w:val="clear" w:color="auto" w:fill="FFFFFF"/>
              </w:rPr>
              <w:t>023-63415172、023-63115669</w:t>
            </w:r>
          </w:p>
        </w:tc>
      </w:tr>
      <w:tr w14:paraId="14F20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112" w:type="dxa"/>
            <w:vAlign w:val="center"/>
          </w:tcPr>
          <w:p w14:paraId="66DAE734">
            <w:pPr>
              <w:adjustRightInd w:val="0"/>
              <w:snapToGrid w:val="0"/>
              <w:spacing w:line="400" w:lineRule="exact"/>
              <w:jc w:val="center"/>
              <w:rPr>
                <w:rFonts w:hint="eastAsia" w:ascii="宋体" w:hAnsi="宋体" w:cs="宋体"/>
                <w:szCs w:val="21"/>
              </w:rPr>
            </w:pPr>
            <w:r>
              <w:rPr>
                <w:rFonts w:hint="eastAsia" w:ascii="宋体" w:hAnsi="宋体" w:cs="宋体"/>
                <w:szCs w:val="21"/>
              </w:rPr>
              <w:t>1.4</w:t>
            </w:r>
          </w:p>
        </w:tc>
        <w:tc>
          <w:tcPr>
            <w:tcW w:w="1417" w:type="dxa"/>
            <w:vAlign w:val="center"/>
          </w:tcPr>
          <w:p w14:paraId="76E4B3B1">
            <w:pPr>
              <w:adjustRightInd w:val="0"/>
              <w:snapToGrid w:val="0"/>
              <w:spacing w:line="400" w:lineRule="exact"/>
              <w:jc w:val="center"/>
              <w:rPr>
                <w:rFonts w:hint="eastAsia" w:ascii="宋体" w:hAnsi="宋体" w:cs="宋体"/>
                <w:szCs w:val="21"/>
              </w:rPr>
            </w:pPr>
            <w:r>
              <w:rPr>
                <w:rFonts w:hint="eastAsia" w:ascii="宋体" w:hAnsi="宋体" w:cs="宋体"/>
                <w:szCs w:val="21"/>
              </w:rPr>
              <w:t>比选内容</w:t>
            </w:r>
          </w:p>
        </w:tc>
        <w:tc>
          <w:tcPr>
            <w:tcW w:w="6804" w:type="dxa"/>
            <w:vAlign w:val="center"/>
          </w:tcPr>
          <w:p w14:paraId="3ECE8C88">
            <w:pPr>
              <w:adjustRightInd w:val="0"/>
              <w:snapToGrid w:val="0"/>
              <w:spacing w:line="400" w:lineRule="exact"/>
              <w:ind w:firstLine="403" w:firstLineChars="192"/>
              <w:rPr>
                <w:rFonts w:hint="eastAsia" w:ascii="宋体" w:hAnsi="宋体" w:cs="宋体"/>
                <w:b/>
                <w:szCs w:val="21"/>
              </w:rPr>
            </w:pPr>
            <w:r>
              <w:rPr>
                <w:rFonts w:hint="eastAsia" w:ascii="宋体" w:hAnsi="宋体" w:cs="宋体"/>
                <w:bCs/>
                <w:szCs w:val="21"/>
              </w:rPr>
              <w:t>详见</w:t>
            </w:r>
            <w:r>
              <w:rPr>
                <w:rFonts w:hint="eastAsia" w:ascii="宋体" w:hAnsi="宋体" w:cs="宋体"/>
                <w:szCs w:val="21"/>
              </w:rPr>
              <w:t>第一章</w:t>
            </w:r>
            <w:r>
              <w:rPr>
                <w:rFonts w:hint="eastAsia" w:ascii="宋体" w:hAnsi="宋体" w:cs="宋体"/>
                <w:bCs/>
                <w:szCs w:val="21"/>
              </w:rPr>
              <w:t>比选公告。</w:t>
            </w:r>
          </w:p>
        </w:tc>
      </w:tr>
      <w:tr w14:paraId="013DF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112" w:type="dxa"/>
            <w:vAlign w:val="center"/>
          </w:tcPr>
          <w:p w14:paraId="232B4353">
            <w:pPr>
              <w:adjustRightInd w:val="0"/>
              <w:snapToGrid w:val="0"/>
              <w:spacing w:line="400" w:lineRule="exact"/>
              <w:jc w:val="center"/>
              <w:rPr>
                <w:rFonts w:hint="eastAsia" w:ascii="宋体" w:hAnsi="宋体" w:cs="宋体"/>
                <w:szCs w:val="21"/>
                <w:highlight w:val="none"/>
              </w:rPr>
            </w:pPr>
            <w:r>
              <w:rPr>
                <w:rFonts w:hint="eastAsia" w:ascii="宋体" w:hAnsi="宋体" w:cs="宋体"/>
                <w:szCs w:val="21"/>
                <w:highlight w:val="none"/>
              </w:rPr>
              <w:t>1.5</w:t>
            </w:r>
          </w:p>
        </w:tc>
        <w:tc>
          <w:tcPr>
            <w:tcW w:w="1417" w:type="dxa"/>
            <w:vAlign w:val="center"/>
          </w:tcPr>
          <w:p w14:paraId="4DC28844">
            <w:pPr>
              <w:adjustRightInd w:val="0"/>
              <w:snapToGrid w:val="0"/>
              <w:spacing w:line="400" w:lineRule="exact"/>
              <w:jc w:val="center"/>
              <w:rPr>
                <w:rFonts w:hint="eastAsia" w:ascii="宋体" w:hAnsi="宋体" w:cs="宋体"/>
                <w:szCs w:val="21"/>
                <w:highlight w:val="none"/>
              </w:rPr>
            </w:pPr>
            <w:r>
              <w:rPr>
                <w:rFonts w:hint="eastAsia" w:ascii="宋体" w:hAnsi="宋体" w:cs="宋体"/>
                <w:szCs w:val="21"/>
                <w:highlight w:val="none"/>
              </w:rPr>
              <w:t>交货期</w:t>
            </w:r>
          </w:p>
        </w:tc>
        <w:tc>
          <w:tcPr>
            <w:tcW w:w="6804" w:type="dxa"/>
            <w:vAlign w:val="center"/>
          </w:tcPr>
          <w:p w14:paraId="3AF26CA0">
            <w:pPr>
              <w:spacing w:line="400" w:lineRule="exact"/>
              <w:ind w:firstLine="420" w:firstLineChars="200"/>
              <w:rPr>
                <w:rFonts w:hint="eastAsia" w:ascii="宋体" w:hAnsi="宋体" w:cs="宋体"/>
                <w:bCs/>
                <w:szCs w:val="21"/>
                <w:highlight w:val="none"/>
              </w:rPr>
            </w:pPr>
            <w:r>
              <w:rPr>
                <w:rFonts w:hint="eastAsia" w:ascii="宋体" w:hAnsi="宋体" w:cs="宋体"/>
                <w:szCs w:val="21"/>
                <w:highlight w:val="none"/>
                <w:lang w:eastAsia="zh-CN"/>
              </w:rPr>
              <w:t>合同签订后，且中选人收到预付款后20个日历天内完成装修、设备交货并完成安装调试</w:t>
            </w:r>
            <w:r>
              <w:rPr>
                <w:rFonts w:hint="eastAsia" w:ascii="宋体" w:hAnsi="宋体" w:cs="宋体"/>
                <w:szCs w:val="21"/>
                <w:highlight w:val="none"/>
              </w:rPr>
              <w:t>。</w:t>
            </w:r>
          </w:p>
        </w:tc>
      </w:tr>
      <w:tr w14:paraId="4B913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112" w:type="dxa"/>
            <w:vAlign w:val="center"/>
          </w:tcPr>
          <w:p w14:paraId="41BB6DA6">
            <w:pPr>
              <w:adjustRightInd w:val="0"/>
              <w:snapToGrid w:val="0"/>
              <w:spacing w:line="400" w:lineRule="exact"/>
              <w:jc w:val="center"/>
              <w:rPr>
                <w:rFonts w:hint="eastAsia" w:ascii="宋体" w:hAnsi="宋体" w:cs="宋体"/>
                <w:szCs w:val="21"/>
              </w:rPr>
            </w:pPr>
            <w:r>
              <w:rPr>
                <w:rFonts w:hint="eastAsia" w:ascii="宋体" w:hAnsi="宋体" w:cs="宋体"/>
                <w:szCs w:val="21"/>
              </w:rPr>
              <w:t>1</w:t>
            </w:r>
            <w:r>
              <w:rPr>
                <w:rFonts w:ascii="宋体" w:hAnsi="宋体" w:cs="宋体"/>
                <w:szCs w:val="21"/>
              </w:rPr>
              <w:t>.</w:t>
            </w:r>
            <w:r>
              <w:rPr>
                <w:rFonts w:hint="eastAsia" w:ascii="宋体" w:hAnsi="宋体" w:cs="宋体"/>
                <w:szCs w:val="21"/>
              </w:rPr>
              <w:t>6</w:t>
            </w:r>
          </w:p>
        </w:tc>
        <w:tc>
          <w:tcPr>
            <w:tcW w:w="1417" w:type="dxa"/>
            <w:vAlign w:val="center"/>
          </w:tcPr>
          <w:p w14:paraId="4E6A504C">
            <w:pPr>
              <w:adjustRightInd w:val="0"/>
              <w:snapToGrid w:val="0"/>
              <w:spacing w:line="400" w:lineRule="exact"/>
              <w:jc w:val="center"/>
              <w:rPr>
                <w:rFonts w:hint="eastAsia" w:ascii="宋体" w:hAnsi="宋体" w:cs="宋体"/>
                <w:szCs w:val="21"/>
              </w:rPr>
            </w:pPr>
            <w:r>
              <w:rPr>
                <w:rFonts w:hint="eastAsia" w:ascii="宋体" w:hAnsi="宋体" w:cs="宋体"/>
                <w:szCs w:val="21"/>
              </w:rPr>
              <w:t>交货地点</w:t>
            </w:r>
          </w:p>
        </w:tc>
        <w:tc>
          <w:tcPr>
            <w:tcW w:w="6804" w:type="dxa"/>
            <w:vAlign w:val="center"/>
          </w:tcPr>
          <w:p w14:paraId="5F97547D">
            <w:pPr>
              <w:spacing w:line="400" w:lineRule="exact"/>
              <w:ind w:firstLine="420" w:firstLineChars="200"/>
              <w:rPr>
                <w:rFonts w:hint="eastAsia" w:ascii="宋体" w:hAnsi="宋体" w:cs="宋体"/>
                <w:szCs w:val="21"/>
              </w:rPr>
            </w:pPr>
            <w:r>
              <w:rPr>
                <w:rFonts w:hint="eastAsia" w:ascii="宋体" w:hAnsi="宋体" w:cs="宋体"/>
                <w:szCs w:val="21"/>
              </w:rPr>
              <w:t>重庆市巴南区界石镇东城大道588号重庆理工职业学院内。</w:t>
            </w:r>
          </w:p>
        </w:tc>
      </w:tr>
      <w:tr w14:paraId="6605A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112" w:type="dxa"/>
            <w:vAlign w:val="center"/>
          </w:tcPr>
          <w:p w14:paraId="1D7624E4">
            <w:pPr>
              <w:adjustRightInd w:val="0"/>
              <w:snapToGrid w:val="0"/>
              <w:spacing w:line="400" w:lineRule="exact"/>
              <w:jc w:val="center"/>
              <w:rPr>
                <w:rFonts w:hint="eastAsia" w:ascii="宋体" w:hAnsi="宋体" w:cs="宋体"/>
                <w:szCs w:val="21"/>
                <w:highlight w:val="none"/>
              </w:rPr>
            </w:pPr>
            <w:r>
              <w:rPr>
                <w:rFonts w:hint="eastAsia" w:ascii="宋体" w:hAnsi="宋体" w:cs="宋体"/>
                <w:szCs w:val="21"/>
                <w:highlight w:val="none"/>
              </w:rPr>
              <w:t>1</w:t>
            </w:r>
            <w:r>
              <w:rPr>
                <w:rFonts w:ascii="宋体" w:hAnsi="宋体" w:cs="宋体"/>
                <w:szCs w:val="21"/>
                <w:highlight w:val="none"/>
              </w:rPr>
              <w:t>.</w:t>
            </w:r>
            <w:r>
              <w:rPr>
                <w:rFonts w:hint="eastAsia" w:ascii="宋体" w:hAnsi="宋体" w:cs="宋体"/>
                <w:szCs w:val="21"/>
                <w:highlight w:val="none"/>
              </w:rPr>
              <w:t>7</w:t>
            </w:r>
          </w:p>
        </w:tc>
        <w:tc>
          <w:tcPr>
            <w:tcW w:w="1417" w:type="dxa"/>
            <w:vAlign w:val="center"/>
          </w:tcPr>
          <w:p w14:paraId="587209E8">
            <w:pPr>
              <w:wordWrap w:val="0"/>
              <w:topLinePunct/>
              <w:adjustRightInd w:val="0"/>
              <w:snapToGrid w:val="0"/>
              <w:spacing w:line="420" w:lineRule="exact"/>
              <w:jc w:val="center"/>
              <w:rPr>
                <w:rFonts w:hint="eastAsia" w:ascii="宋体" w:hAnsi="宋体" w:cs="宋体"/>
                <w:szCs w:val="21"/>
                <w:highlight w:val="none"/>
              </w:rPr>
            </w:pPr>
            <w:r>
              <w:rPr>
                <w:rFonts w:hint="eastAsia" w:ascii="宋体" w:hAnsi="宋体"/>
                <w:szCs w:val="21"/>
                <w:highlight w:val="none"/>
              </w:rPr>
              <w:t>质量保修期</w:t>
            </w:r>
          </w:p>
        </w:tc>
        <w:tc>
          <w:tcPr>
            <w:tcW w:w="6804" w:type="dxa"/>
            <w:vAlign w:val="center"/>
          </w:tcPr>
          <w:p w14:paraId="29F2E346">
            <w:pPr>
              <w:wordWrap w:val="0"/>
              <w:topLinePunct/>
              <w:spacing w:line="420" w:lineRule="exact"/>
              <w:ind w:firstLine="420" w:firstLineChars="200"/>
              <w:jc w:val="left"/>
              <w:rPr>
                <w:rFonts w:hint="eastAsia" w:ascii="宋体" w:hAnsi="宋体" w:cs="宋体"/>
                <w:szCs w:val="21"/>
                <w:highlight w:val="none"/>
              </w:rPr>
            </w:pPr>
            <w:r>
              <w:rPr>
                <w:rFonts w:hint="eastAsia" w:ascii="宋体" w:hAnsi="宋体" w:cs="宋体"/>
                <w:kern w:val="0"/>
                <w:szCs w:val="21"/>
                <w:highlight w:val="none"/>
              </w:rPr>
              <w:t>从验收合格之日起</w:t>
            </w:r>
            <w:r>
              <w:rPr>
                <w:rFonts w:hint="eastAsia" w:ascii="宋体" w:hAnsi="宋体" w:cs="宋体"/>
                <w:kern w:val="0"/>
                <w:szCs w:val="21"/>
                <w:highlight w:val="none"/>
                <w:lang w:eastAsia="zh-CN"/>
              </w:rPr>
              <w:t>，台式电脑质保期为2年；智能交互平板质保期为3年。</w:t>
            </w:r>
          </w:p>
        </w:tc>
      </w:tr>
      <w:tr w14:paraId="60E19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112" w:type="dxa"/>
            <w:vAlign w:val="center"/>
          </w:tcPr>
          <w:p w14:paraId="02E49700">
            <w:pPr>
              <w:adjustRightInd w:val="0"/>
              <w:snapToGrid w:val="0"/>
              <w:spacing w:line="400" w:lineRule="exact"/>
              <w:jc w:val="center"/>
              <w:rPr>
                <w:rFonts w:hint="eastAsia" w:ascii="宋体" w:hAnsi="宋体" w:cs="宋体"/>
                <w:szCs w:val="21"/>
              </w:rPr>
            </w:pPr>
            <w:r>
              <w:rPr>
                <w:rFonts w:hint="eastAsia" w:ascii="宋体" w:hAnsi="宋体" w:cs="宋体"/>
                <w:szCs w:val="21"/>
              </w:rPr>
              <w:t>1.8</w:t>
            </w:r>
          </w:p>
        </w:tc>
        <w:tc>
          <w:tcPr>
            <w:tcW w:w="1417" w:type="dxa"/>
            <w:vAlign w:val="center"/>
          </w:tcPr>
          <w:p w14:paraId="1681839D">
            <w:pPr>
              <w:wordWrap w:val="0"/>
              <w:topLinePunct/>
              <w:adjustRightInd w:val="0"/>
              <w:snapToGrid w:val="0"/>
              <w:spacing w:line="420" w:lineRule="exact"/>
              <w:jc w:val="center"/>
              <w:rPr>
                <w:rFonts w:hint="eastAsia" w:ascii="宋体" w:hAnsi="宋体" w:cs="Arial"/>
                <w:szCs w:val="21"/>
              </w:rPr>
            </w:pPr>
            <w:r>
              <w:rPr>
                <w:rFonts w:hint="eastAsia" w:ascii="宋体" w:hAnsi="宋体"/>
                <w:szCs w:val="21"/>
              </w:rPr>
              <w:t>质量要求</w:t>
            </w:r>
          </w:p>
        </w:tc>
        <w:tc>
          <w:tcPr>
            <w:tcW w:w="6804" w:type="dxa"/>
            <w:vAlign w:val="center"/>
          </w:tcPr>
          <w:p w14:paraId="01A2E2C0">
            <w:pPr>
              <w:wordWrap w:val="0"/>
              <w:topLinePunct/>
              <w:spacing w:line="400" w:lineRule="exact"/>
              <w:ind w:firstLine="420" w:firstLineChars="200"/>
              <w:jc w:val="left"/>
              <w:rPr>
                <w:rFonts w:hint="eastAsia" w:ascii="宋体" w:hAnsi="宋体" w:cs="宋体"/>
                <w:bCs/>
                <w:szCs w:val="21"/>
              </w:rPr>
            </w:pPr>
            <w:r>
              <w:rPr>
                <w:rFonts w:hint="eastAsia" w:ascii="宋体" w:hAnsi="宋体" w:cs="宋体"/>
                <w:kern w:val="0"/>
                <w:szCs w:val="21"/>
                <w:highlight w:val="none"/>
              </w:rPr>
              <w:t>产品应为全新产品，附带产品合格证及保修书并符合国家相关质量标准、产品出厂标准以及合同中约定的规格、配置与性能要求。</w:t>
            </w:r>
          </w:p>
        </w:tc>
      </w:tr>
      <w:tr w14:paraId="778B4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112" w:type="dxa"/>
            <w:vAlign w:val="center"/>
          </w:tcPr>
          <w:p w14:paraId="49CB5EE1">
            <w:pPr>
              <w:adjustRightInd w:val="0"/>
              <w:snapToGrid w:val="0"/>
              <w:spacing w:line="400" w:lineRule="exact"/>
              <w:jc w:val="center"/>
              <w:rPr>
                <w:rFonts w:hint="eastAsia" w:ascii="宋体" w:hAnsi="宋体" w:cs="宋体"/>
                <w:szCs w:val="21"/>
              </w:rPr>
            </w:pPr>
            <w:r>
              <w:rPr>
                <w:rFonts w:hint="eastAsia" w:ascii="宋体" w:hAnsi="宋体" w:cs="宋体"/>
                <w:szCs w:val="21"/>
              </w:rPr>
              <w:t>1</w:t>
            </w:r>
            <w:r>
              <w:rPr>
                <w:rFonts w:ascii="宋体" w:hAnsi="宋体" w:cs="宋体"/>
                <w:szCs w:val="21"/>
              </w:rPr>
              <w:t>.</w:t>
            </w:r>
            <w:r>
              <w:rPr>
                <w:rFonts w:hint="eastAsia" w:ascii="宋体" w:hAnsi="宋体" w:cs="宋体"/>
                <w:szCs w:val="21"/>
              </w:rPr>
              <w:t>9</w:t>
            </w:r>
          </w:p>
        </w:tc>
        <w:tc>
          <w:tcPr>
            <w:tcW w:w="1417" w:type="dxa"/>
            <w:vAlign w:val="center"/>
          </w:tcPr>
          <w:p w14:paraId="1A03C1B2">
            <w:pPr>
              <w:adjustRightInd w:val="0"/>
              <w:snapToGrid w:val="0"/>
              <w:spacing w:line="400" w:lineRule="exact"/>
              <w:jc w:val="center"/>
              <w:rPr>
                <w:rFonts w:hint="eastAsia" w:ascii="宋体" w:hAnsi="宋体" w:cs="Arial"/>
                <w:szCs w:val="21"/>
              </w:rPr>
            </w:pPr>
            <w:r>
              <w:rPr>
                <w:rFonts w:hint="eastAsia" w:ascii="宋体" w:hAnsi="宋体" w:cs="宋体"/>
                <w:kern w:val="0"/>
                <w:szCs w:val="21"/>
              </w:rPr>
              <w:t>踏勘现场</w:t>
            </w:r>
          </w:p>
        </w:tc>
        <w:tc>
          <w:tcPr>
            <w:tcW w:w="6804" w:type="dxa"/>
            <w:vAlign w:val="center"/>
          </w:tcPr>
          <w:p w14:paraId="1D2A88FB">
            <w:pPr>
              <w:spacing w:line="400" w:lineRule="exact"/>
              <w:ind w:firstLine="420" w:firstLineChars="200"/>
              <w:rPr>
                <w:rFonts w:hint="eastAsia" w:ascii="宋体" w:hAnsi="宋体" w:cs="宋体"/>
                <w:szCs w:val="21"/>
              </w:rPr>
            </w:pPr>
            <w:r>
              <w:rPr>
                <w:rFonts w:hint="eastAsia" w:ascii="宋体" w:hAnsi="宋体" w:cs="宋体"/>
                <w:szCs w:val="21"/>
              </w:rPr>
              <w:t>(一)比选人不组织集中现场踏勘，由各比选供应商在比选开始前自行到现场进行踏勘了解实际情况，踏勘产生的费用和风险等均由比选供应商自行承担。</w:t>
            </w:r>
          </w:p>
          <w:p w14:paraId="03D5CB52">
            <w:pPr>
              <w:spacing w:line="400" w:lineRule="exact"/>
              <w:ind w:firstLine="420" w:firstLineChars="200"/>
              <w:rPr>
                <w:rFonts w:hint="eastAsia" w:ascii="宋体" w:hAnsi="宋体" w:cs="宋体"/>
                <w:szCs w:val="21"/>
              </w:rPr>
            </w:pPr>
            <w:r>
              <w:rPr>
                <w:rFonts w:hint="eastAsia" w:ascii="宋体" w:hAnsi="宋体" w:cs="宋体"/>
                <w:szCs w:val="21"/>
              </w:rPr>
              <w:t>(二)无论比选供应商是否踏勘过现场，均视为在递交响应文件截止时间之前踏勘过现场且对本项目潜在的风险和义务已完全了解，并已充分考虑了本项目可能面临的不确定因素可能导致的风险。</w:t>
            </w:r>
          </w:p>
          <w:p w14:paraId="3BE5BCDD">
            <w:pPr>
              <w:spacing w:line="400" w:lineRule="exact"/>
              <w:ind w:firstLine="420" w:firstLineChars="200"/>
              <w:rPr>
                <w:rFonts w:hint="eastAsia" w:ascii="宋体" w:hAnsi="宋体" w:cs="宋体"/>
                <w:bCs/>
                <w:szCs w:val="21"/>
                <w:u w:val="single"/>
              </w:rPr>
            </w:pPr>
            <w:r>
              <w:rPr>
                <w:rFonts w:hint="eastAsia" w:ascii="宋体" w:hAnsi="宋体" w:cs="宋体"/>
                <w:szCs w:val="21"/>
              </w:rPr>
              <w:t>（三）现场踏勘联系人：雷老师，电话：13983734079</w:t>
            </w:r>
          </w:p>
        </w:tc>
      </w:tr>
      <w:tr w14:paraId="72FDB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112" w:type="dxa"/>
            <w:vAlign w:val="center"/>
          </w:tcPr>
          <w:p w14:paraId="3622E164">
            <w:pPr>
              <w:adjustRightInd w:val="0"/>
              <w:snapToGrid w:val="0"/>
              <w:spacing w:line="400" w:lineRule="exact"/>
              <w:jc w:val="center"/>
              <w:rPr>
                <w:rFonts w:hint="eastAsia" w:ascii="宋体" w:hAnsi="宋体" w:cs="宋体"/>
                <w:szCs w:val="21"/>
              </w:rPr>
            </w:pPr>
            <w:r>
              <w:rPr>
                <w:rFonts w:hint="eastAsia" w:ascii="宋体" w:hAnsi="宋体" w:cs="宋体"/>
                <w:szCs w:val="21"/>
              </w:rPr>
              <w:t>1</w:t>
            </w:r>
            <w:r>
              <w:rPr>
                <w:rFonts w:ascii="宋体" w:hAnsi="宋体" w:cs="宋体"/>
                <w:szCs w:val="21"/>
              </w:rPr>
              <w:t>.</w:t>
            </w:r>
            <w:r>
              <w:rPr>
                <w:rFonts w:hint="eastAsia" w:ascii="宋体" w:hAnsi="宋体" w:cs="宋体"/>
                <w:szCs w:val="21"/>
              </w:rPr>
              <w:t>10</w:t>
            </w:r>
          </w:p>
        </w:tc>
        <w:tc>
          <w:tcPr>
            <w:tcW w:w="1417" w:type="dxa"/>
            <w:vAlign w:val="center"/>
          </w:tcPr>
          <w:p w14:paraId="732D8A9F">
            <w:pPr>
              <w:adjustRightInd w:val="0"/>
              <w:snapToGrid w:val="0"/>
              <w:spacing w:line="400" w:lineRule="exact"/>
              <w:jc w:val="center"/>
              <w:rPr>
                <w:rFonts w:hint="eastAsia" w:ascii="宋体" w:hAnsi="宋体" w:cs="宋体"/>
                <w:kern w:val="0"/>
                <w:szCs w:val="21"/>
              </w:rPr>
            </w:pPr>
            <w:r>
              <w:rPr>
                <w:rFonts w:hint="eastAsia" w:ascii="宋体" w:hAnsi="宋体" w:cs="宋体"/>
                <w:kern w:val="0"/>
                <w:szCs w:val="21"/>
              </w:rPr>
              <w:t>比选预备会</w:t>
            </w:r>
          </w:p>
        </w:tc>
        <w:tc>
          <w:tcPr>
            <w:tcW w:w="6804" w:type="dxa"/>
            <w:vAlign w:val="center"/>
          </w:tcPr>
          <w:p w14:paraId="352BF909">
            <w:pPr>
              <w:adjustRightInd w:val="0"/>
              <w:snapToGrid w:val="0"/>
              <w:spacing w:line="400" w:lineRule="exact"/>
              <w:ind w:firstLine="403" w:firstLineChars="192"/>
              <w:rPr>
                <w:rFonts w:cs="宋体"/>
              </w:rPr>
            </w:pPr>
            <w:r>
              <w:rPr>
                <w:rFonts w:ascii="宋体" w:hAnsi="宋体"/>
                <w:kern w:val="0"/>
                <w:szCs w:val="21"/>
              </w:rPr>
              <w:t>不召开</w:t>
            </w:r>
          </w:p>
        </w:tc>
      </w:tr>
      <w:tr w14:paraId="397F9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112" w:type="dxa"/>
            <w:vAlign w:val="center"/>
          </w:tcPr>
          <w:p w14:paraId="097FFC54">
            <w:pPr>
              <w:adjustRightInd w:val="0"/>
              <w:snapToGrid w:val="0"/>
              <w:spacing w:line="400" w:lineRule="exact"/>
              <w:jc w:val="center"/>
              <w:rPr>
                <w:rFonts w:hint="eastAsia" w:ascii="宋体" w:hAnsi="宋体" w:cs="宋体"/>
                <w:szCs w:val="21"/>
              </w:rPr>
            </w:pPr>
            <w:r>
              <w:rPr>
                <w:rFonts w:hint="eastAsia" w:ascii="宋体" w:hAnsi="宋体" w:cs="宋体"/>
                <w:szCs w:val="21"/>
              </w:rPr>
              <w:t>1</w:t>
            </w:r>
            <w:r>
              <w:rPr>
                <w:rFonts w:ascii="宋体" w:hAnsi="宋体" w:cs="宋体"/>
                <w:szCs w:val="21"/>
              </w:rPr>
              <w:t>.1</w:t>
            </w:r>
            <w:r>
              <w:rPr>
                <w:rFonts w:hint="eastAsia" w:ascii="宋体" w:hAnsi="宋体" w:cs="宋体"/>
                <w:szCs w:val="21"/>
              </w:rPr>
              <w:t>1</w:t>
            </w:r>
          </w:p>
        </w:tc>
        <w:tc>
          <w:tcPr>
            <w:tcW w:w="1417" w:type="dxa"/>
            <w:vAlign w:val="center"/>
          </w:tcPr>
          <w:p w14:paraId="0DFFD9E4">
            <w:pPr>
              <w:adjustRightInd w:val="0"/>
              <w:snapToGrid w:val="0"/>
              <w:spacing w:line="400" w:lineRule="exact"/>
              <w:jc w:val="center"/>
              <w:rPr>
                <w:rFonts w:hint="eastAsia" w:ascii="宋体" w:hAnsi="宋体" w:cs="宋体"/>
                <w:kern w:val="0"/>
                <w:szCs w:val="21"/>
              </w:rPr>
            </w:pPr>
            <w:r>
              <w:rPr>
                <w:rFonts w:hint="eastAsia" w:ascii="宋体" w:hAnsi="宋体"/>
                <w:kern w:val="0"/>
                <w:szCs w:val="21"/>
              </w:rPr>
              <w:t>分包</w:t>
            </w:r>
          </w:p>
        </w:tc>
        <w:tc>
          <w:tcPr>
            <w:tcW w:w="6804" w:type="dxa"/>
            <w:vAlign w:val="center"/>
          </w:tcPr>
          <w:p w14:paraId="2B56BC39">
            <w:pPr>
              <w:spacing w:line="400" w:lineRule="exact"/>
              <w:ind w:firstLine="420" w:firstLineChars="200"/>
              <w:rPr>
                <w:rFonts w:cs="宋体"/>
              </w:rPr>
            </w:pPr>
            <w:r>
              <w:rPr>
                <w:rFonts w:ascii="宋体" w:hAnsi="宋体"/>
                <w:kern w:val="0"/>
                <w:szCs w:val="21"/>
              </w:rPr>
              <w:t>不允许</w:t>
            </w:r>
            <w:r>
              <w:rPr>
                <w:rFonts w:hint="eastAsia" w:ascii="宋体" w:hAnsi="宋体" w:cs="宋体"/>
                <w:szCs w:val="21"/>
              </w:rPr>
              <w:t>。</w:t>
            </w:r>
          </w:p>
        </w:tc>
      </w:tr>
      <w:tr w14:paraId="7CDD3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112" w:type="dxa"/>
            <w:vAlign w:val="center"/>
          </w:tcPr>
          <w:p w14:paraId="6F35241A">
            <w:pPr>
              <w:adjustRightInd w:val="0"/>
              <w:snapToGrid w:val="0"/>
              <w:spacing w:line="400" w:lineRule="exact"/>
              <w:jc w:val="center"/>
              <w:rPr>
                <w:rFonts w:hint="eastAsia" w:ascii="宋体" w:hAnsi="宋体" w:cs="宋体"/>
                <w:szCs w:val="21"/>
              </w:rPr>
            </w:pPr>
            <w:r>
              <w:rPr>
                <w:rFonts w:hint="eastAsia" w:ascii="宋体" w:hAnsi="宋体" w:cs="宋体"/>
                <w:szCs w:val="21"/>
              </w:rPr>
              <w:t>1</w:t>
            </w:r>
            <w:r>
              <w:rPr>
                <w:rFonts w:ascii="宋体" w:hAnsi="宋体" w:cs="宋体"/>
                <w:szCs w:val="21"/>
              </w:rPr>
              <w:t>.1</w:t>
            </w:r>
            <w:r>
              <w:rPr>
                <w:rFonts w:hint="eastAsia" w:ascii="宋体" w:hAnsi="宋体" w:cs="宋体"/>
                <w:szCs w:val="21"/>
              </w:rPr>
              <w:t>2</w:t>
            </w:r>
          </w:p>
        </w:tc>
        <w:tc>
          <w:tcPr>
            <w:tcW w:w="1417" w:type="dxa"/>
            <w:vAlign w:val="center"/>
          </w:tcPr>
          <w:p w14:paraId="64B6F440">
            <w:pPr>
              <w:adjustRightInd w:val="0"/>
              <w:snapToGrid w:val="0"/>
              <w:spacing w:line="400" w:lineRule="exact"/>
              <w:jc w:val="center"/>
              <w:rPr>
                <w:rFonts w:hint="eastAsia" w:ascii="宋体" w:hAnsi="宋体"/>
                <w:kern w:val="0"/>
                <w:szCs w:val="21"/>
              </w:rPr>
            </w:pPr>
            <w:r>
              <w:rPr>
                <w:rFonts w:hint="eastAsia" w:ascii="宋体" w:hAnsi="宋体"/>
                <w:kern w:val="0"/>
                <w:szCs w:val="21"/>
              </w:rPr>
              <w:t>偏差</w:t>
            </w:r>
          </w:p>
        </w:tc>
        <w:tc>
          <w:tcPr>
            <w:tcW w:w="6804" w:type="dxa"/>
            <w:vAlign w:val="center"/>
          </w:tcPr>
          <w:p w14:paraId="59C5305D">
            <w:pPr>
              <w:adjustRightInd w:val="0"/>
              <w:snapToGrid w:val="0"/>
              <w:spacing w:line="400" w:lineRule="exact"/>
              <w:ind w:firstLine="403" w:firstLineChars="192"/>
              <w:rPr>
                <w:rFonts w:hint="eastAsia" w:ascii="宋体" w:hAnsi="宋体"/>
                <w:kern w:val="0"/>
                <w:szCs w:val="21"/>
              </w:rPr>
            </w:pPr>
            <w:r>
              <w:rPr>
                <w:rFonts w:hint="eastAsia"/>
              </w:rPr>
              <w:t>不允许任何负偏差。</w:t>
            </w:r>
          </w:p>
        </w:tc>
      </w:tr>
      <w:tr w14:paraId="35F7A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333" w:type="dxa"/>
            <w:gridSpan w:val="3"/>
            <w:vAlign w:val="center"/>
          </w:tcPr>
          <w:p w14:paraId="4D6BA722">
            <w:pPr>
              <w:adjustRightInd w:val="0"/>
              <w:snapToGrid w:val="0"/>
              <w:spacing w:line="400" w:lineRule="exact"/>
              <w:jc w:val="center"/>
              <w:rPr>
                <w:rFonts w:hint="eastAsia" w:ascii="宋体" w:hAnsi="宋体" w:cs="宋体"/>
                <w:b/>
                <w:szCs w:val="21"/>
              </w:rPr>
            </w:pPr>
            <w:r>
              <w:rPr>
                <w:rFonts w:hint="eastAsia" w:ascii="宋体" w:hAnsi="宋体" w:cs="宋体"/>
                <w:b/>
                <w:szCs w:val="21"/>
              </w:rPr>
              <w:t>A  比选供应商</w:t>
            </w:r>
          </w:p>
        </w:tc>
      </w:tr>
      <w:tr w14:paraId="60393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112" w:type="dxa"/>
            <w:vAlign w:val="center"/>
          </w:tcPr>
          <w:p w14:paraId="78CBE1A8">
            <w:pPr>
              <w:spacing w:line="400" w:lineRule="exact"/>
              <w:jc w:val="center"/>
              <w:rPr>
                <w:rFonts w:hint="eastAsia" w:ascii="宋体" w:hAnsi="宋体" w:cs="宋体"/>
                <w:bCs/>
                <w:szCs w:val="21"/>
              </w:rPr>
            </w:pPr>
            <w:r>
              <w:rPr>
                <w:rFonts w:hint="eastAsia" w:ascii="宋体" w:hAnsi="宋体" w:cs="宋体"/>
                <w:bCs/>
                <w:szCs w:val="21"/>
              </w:rPr>
              <w:t>A.2.5</w:t>
            </w:r>
          </w:p>
        </w:tc>
        <w:tc>
          <w:tcPr>
            <w:tcW w:w="1417" w:type="dxa"/>
            <w:vAlign w:val="center"/>
          </w:tcPr>
          <w:p w14:paraId="409CEB22">
            <w:pPr>
              <w:spacing w:line="400" w:lineRule="exact"/>
              <w:rPr>
                <w:rFonts w:hint="eastAsia" w:ascii="宋体" w:hAnsi="宋体" w:cs="宋体"/>
                <w:bCs/>
                <w:szCs w:val="21"/>
              </w:rPr>
            </w:pPr>
            <w:r>
              <w:rPr>
                <w:rFonts w:hint="eastAsia" w:ascii="宋体" w:hAnsi="宋体" w:cs="宋体"/>
                <w:bCs/>
                <w:szCs w:val="21"/>
              </w:rPr>
              <w:t>资格要求</w:t>
            </w:r>
          </w:p>
        </w:tc>
        <w:tc>
          <w:tcPr>
            <w:tcW w:w="6804" w:type="dxa"/>
            <w:vAlign w:val="center"/>
          </w:tcPr>
          <w:p w14:paraId="5EF54FFD">
            <w:pPr>
              <w:spacing w:line="400" w:lineRule="exact"/>
              <w:ind w:firstLine="422" w:firstLineChars="200"/>
              <w:rPr>
                <w:rFonts w:hint="eastAsia" w:ascii="宋体" w:hAnsi="宋体" w:cs="宋体"/>
                <w:b/>
                <w:bCs/>
                <w:szCs w:val="21"/>
              </w:rPr>
            </w:pPr>
            <w:bookmarkStart w:id="26" w:name="OLE_LINK12"/>
            <w:r>
              <w:rPr>
                <w:rFonts w:hint="eastAsia" w:ascii="宋体" w:hAnsi="宋体" w:cs="宋体"/>
                <w:b/>
                <w:bCs/>
                <w:szCs w:val="21"/>
              </w:rPr>
              <w:t>1.营业执照或其他有效设立证明</w:t>
            </w:r>
          </w:p>
          <w:p w14:paraId="040A988C">
            <w:pPr>
              <w:spacing w:line="400" w:lineRule="exact"/>
              <w:ind w:firstLine="420" w:firstLineChars="200"/>
              <w:rPr>
                <w:rFonts w:hint="eastAsia" w:ascii="宋体" w:hAnsi="宋体" w:cs="宋体"/>
                <w:szCs w:val="21"/>
              </w:rPr>
            </w:pPr>
            <w:r>
              <w:rPr>
                <w:rFonts w:hint="eastAsia" w:ascii="宋体" w:hAnsi="宋体" w:cs="宋体"/>
                <w:szCs w:val="21"/>
              </w:rPr>
              <w:t>比选供应商必须是在中华人民共和国境内注册，能独立承担民事责任的法人或其他组织，具有市场监督管理部门核发的有效的载有统一社会信用代码的营业执照或者其他有效设立证明。</w:t>
            </w:r>
          </w:p>
          <w:p w14:paraId="258ADB19">
            <w:pPr>
              <w:spacing w:line="400" w:lineRule="exact"/>
              <w:ind w:firstLine="422" w:firstLineChars="200"/>
              <w:rPr>
                <w:rFonts w:hint="eastAsia" w:ascii="宋体" w:hAnsi="宋体" w:cs="宋体"/>
                <w:b/>
                <w:bCs/>
                <w:szCs w:val="21"/>
              </w:rPr>
            </w:pPr>
            <w:r>
              <w:rPr>
                <w:rFonts w:hint="eastAsia" w:ascii="宋体" w:hAnsi="宋体" w:cs="宋体"/>
                <w:b/>
                <w:bCs/>
                <w:szCs w:val="21"/>
              </w:rPr>
              <w:t>注：比选供应商提供有效营业执照或其他有效设立文件的复印件并加盖单位鲜公章。</w:t>
            </w:r>
          </w:p>
          <w:p w14:paraId="5B041650">
            <w:pPr>
              <w:autoSpaceDE w:val="0"/>
              <w:autoSpaceDN w:val="0"/>
              <w:adjustRightInd w:val="0"/>
              <w:snapToGrid w:val="0"/>
              <w:spacing w:line="400" w:lineRule="exact"/>
              <w:ind w:firstLine="422" w:firstLineChars="200"/>
              <w:rPr>
                <w:rFonts w:hint="eastAsia" w:ascii="宋体" w:hAnsi="宋体" w:cs="宋体"/>
                <w:b/>
                <w:bCs/>
                <w:color w:val="auto"/>
                <w:szCs w:val="21"/>
              </w:rPr>
            </w:pPr>
            <w:r>
              <w:rPr>
                <w:rFonts w:hint="eastAsia" w:ascii="宋体" w:hAnsi="宋体" w:cs="宋体"/>
                <w:b/>
                <w:bCs/>
                <w:color w:val="auto"/>
                <w:szCs w:val="21"/>
              </w:rPr>
              <w:t>2.业绩要求</w:t>
            </w:r>
          </w:p>
          <w:p w14:paraId="46D8D8CC">
            <w:pPr>
              <w:autoSpaceDE w:val="0"/>
              <w:autoSpaceDN w:val="0"/>
              <w:adjustRightInd w:val="0"/>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比选供应商须具有至少一个2023年1月1日至今的与本项目相同或类似的</w:t>
            </w:r>
            <w:r>
              <w:rPr>
                <w:rFonts w:hint="eastAsia" w:ascii="宋体" w:hAnsi="宋体" w:cs="宋体"/>
                <w:color w:val="auto"/>
                <w:szCs w:val="21"/>
                <w:lang w:val="en-US" w:eastAsia="zh-CN"/>
              </w:rPr>
              <w:t>电脑</w:t>
            </w:r>
            <w:r>
              <w:rPr>
                <w:rFonts w:hint="eastAsia" w:ascii="宋体" w:hAnsi="宋体" w:cs="宋体"/>
                <w:color w:val="auto"/>
                <w:szCs w:val="21"/>
              </w:rPr>
              <w:t>供货业绩，</w:t>
            </w:r>
            <w:r>
              <w:rPr>
                <w:rFonts w:ascii="宋体" w:hAnsi="宋体" w:cs="宋体"/>
                <w:color w:val="auto"/>
                <w:szCs w:val="21"/>
              </w:rPr>
              <w:t>业绩金额不少于</w:t>
            </w:r>
            <w:r>
              <w:rPr>
                <w:rFonts w:hint="eastAsia" w:ascii="宋体" w:hAnsi="宋体" w:cs="宋体"/>
                <w:color w:val="auto"/>
                <w:szCs w:val="21"/>
                <w:lang w:val="en-US" w:eastAsia="zh-CN"/>
              </w:rPr>
              <w:t>3</w:t>
            </w:r>
            <w:r>
              <w:rPr>
                <w:rFonts w:ascii="宋体" w:hAnsi="宋体" w:cs="宋体"/>
                <w:color w:val="auto"/>
                <w:szCs w:val="21"/>
              </w:rPr>
              <w:t>0万元。</w:t>
            </w:r>
          </w:p>
          <w:p w14:paraId="0801ECDE">
            <w:pPr>
              <w:autoSpaceDE w:val="0"/>
              <w:autoSpaceDN w:val="0"/>
              <w:adjustRightInd w:val="0"/>
              <w:snapToGrid w:val="0"/>
              <w:spacing w:line="400" w:lineRule="exact"/>
              <w:ind w:firstLine="422" w:firstLineChars="200"/>
              <w:rPr>
                <w:color w:val="auto"/>
              </w:rPr>
            </w:pPr>
            <w:r>
              <w:rPr>
                <w:rFonts w:hint="eastAsia" w:ascii="宋体" w:hAnsi="宋体" w:cs="宋体"/>
                <w:b/>
                <w:bCs/>
                <w:color w:val="auto"/>
                <w:szCs w:val="21"/>
              </w:rPr>
              <w:t>注：比选供应商提供有效的业绩合同及发票复印件并加盖单位鲜公章。</w:t>
            </w:r>
          </w:p>
          <w:p w14:paraId="4CE8C38F">
            <w:pPr>
              <w:autoSpaceDE w:val="0"/>
              <w:autoSpaceDN w:val="0"/>
              <w:adjustRightInd w:val="0"/>
              <w:snapToGrid w:val="0"/>
              <w:spacing w:line="400" w:lineRule="exact"/>
              <w:ind w:firstLine="422" w:firstLineChars="200"/>
              <w:rPr>
                <w:rFonts w:hint="eastAsia" w:ascii="宋体" w:hAnsi="宋体" w:cs="宋体"/>
                <w:b/>
                <w:bCs/>
                <w:szCs w:val="21"/>
              </w:rPr>
            </w:pPr>
            <w:r>
              <w:rPr>
                <w:rFonts w:hint="eastAsia" w:ascii="宋体" w:hAnsi="宋体" w:cs="宋体"/>
                <w:b/>
                <w:bCs/>
                <w:szCs w:val="21"/>
              </w:rPr>
              <w:t>3.信誉要求</w:t>
            </w:r>
          </w:p>
          <w:p w14:paraId="18A326A9">
            <w:pPr>
              <w:autoSpaceDE w:val="0"/>
              <w:autoSpaceDN w:val="0"/>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比选供应商须具有良好的商业信誉，没有被责令停业、暂停比选（投标）资格，近三年（2023年5月1日起至比选截止日）在“信用中国网”无严重失信主体名单信息记录、在“中国政府采购网”无政府采购严重违法失信行为信息记录、在“国家企业信用信息公示系统”无严重违法失信名单（黑名单）信息记录，比选供应商单位及其法定代表人(或负责人)无行贿行为且在“中国裁判文书网”无行贿犯罪记录。</w:t>
            </w:r>
          </w:p>
          <w:p w14:paraId="460ECF7A">
            <w:pPr>
              <w:widowControl/>
              <w:spacing w:line="400" w:lineRule="exact"/>
              <w:ind w:firstLine="422" w:firstLineChars="200"/>
              <w:jc w:val="left"/>
              <w:rPr>
                <w:rFonts w:hint="eastAsia" w:ascii="宋体" w:hAnsi="宋体"/>
                <w:b/>
                <w:szCs w:val="22"/>
              </w:rPr>
            </w:pPr>
            <w:r>
              <w:rPr>
                <w:rFonts w:hint="eastAsia" w:ascii="宋体" w:hAnsi="宋体" w:cs="宋体"/>
                <w:b/>
                <w:szCs w:val="21"/>
              </w:rPr>
              <w:t>注：比选供应商自行通过上述网站进行查询，经查询存在相应记录的，应回避本次比选。查询后无相应记录的，需在响应文件中按信誉声明格式进行承诺并加盖单位公章，否则资格评审不合格。比选供应商无需提供查询记录截图，若提供截图，评标委员会不得将其作为评审因素。比选人保留对比选供应商承诺真实性进行查询的权利，如果发现比选供应商承诺不实的，将取消其中选资格，比选人可以按照评审报告中评审结果的排序，依次递补其他比选供应商为中选候选人或中选人。</w:t>
            </w:r>
          </w:p>
          <w:p w14:paraId="74358AD5">
            <w:pPr>
              <w:spacing w:line="400" w:lineRule="exact"/>
              <w:ind w:firstLine="422" w:firstLineChars="200"/>
              <w:rPr>
                <w:rFonts w:hint="eastAsia" w:ascii="宋体" w:hAnsi="宋体" w:cs="宋体"/>
                <w:b/>
                <w:szCs w:val="21"/>
              </w:rPr>
            </w:pPr>
            <w:r>
              <w:rPr>
                <w:rFonts w:hint="eastAsia" w:ascii="宋体" w:hAnsi="宋体" w:cs="宋体"/>
                <w:b/>
                <w:szCs w:val="21"/>
              </w:rPr>
              <w:t>特别说明：</w:t>
            </w:r>
          </w:p>
          <w:p w14:paraId="451C0D5B">
            <w:pPr>
              <w:spacing w:line="400" w:lineRule="exact"/>
              <w:ind w:firstLine="422" w:firstLineChars="200"/>
              <w:rPr>
                <w:rFonts w:hint="eastAsia" w:ascii="宋体" w:hAnsi="宋体" w:cs="宋体"/>
                <w:b/>
                <w:szCs w:val="21"/>
              </w:rPr>
            </w:pPr>
            <w:r>
              <w:rPr>
                <w:rFonts w:hint="eastAsia" w:ascii="宋体" w:hAnsi="宋体" w:cs="宋体"/>
                <w:b/>
                <w:kern w:val="0"/>
                <w:szCs w:val="21"/>
              </w:rPr>
              <w:t>比选人在比选有效期内均有权对</w:t>
            </w:r>
            <w:r>
              <w:rPr>
                <w:rFonts w:hint="eastAsia" w:ascii="宋体" w:hAnsi="宋体" w:cs="宋体"/>
                <w:b/>
                <w:szCs w:val="21"/>
              </w:rPr>
              <w:t>比选供应商</w:t>
            </w:r>
            <w:r>
              <w:rPr>
                <w:rFonts w:hint="eastAsia" w:ascii="宋体" w:hAnsi="宋体" w:cs="宋体"/>
                <w:b/>
                <w:kern w:val="0"/>
                <w:szCs w:val="21"/>
              </w:rPr>
              <w:t>提供的以上资料进行核实，若发现资料存在虚假不实（或经举报证实资料存在虚假不实），比选人将有权取消其中选资格，其比选保证金不予退还，并承担因此造成的相关责任与赔偿相应损失</w:t>
            </w:r>
            <w:r>
              <w:rPr>
                <w:rFonts w:hint="eastAsia" w:hAnsi="宋体" w:cs="宋体"/>
                <w:b/>
                <w:kern w:val="0"/>
                <w:szCs w:val="21"/>
              </w:rPr>
              <w:t>。</w:t>
            </w:r>
            <w:bookmarkEnd w:id="26"/>
          </w:p>
        </w:tc>
      </w:tr>
      <w:tr w14:paraId="29612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112" w:type="dxa"/>
            <w:vAlign w:val="center"/>
          </w:tcPr>
          <w:p w14:paraId="0F39FA32">
            <w:pPr>
              <w:adjustRightInd w:val="0"/>
              <w:snapToGrid w:val="0"/>
              <w:spacing w:line="400" w:lineRule="exact"/>
              <w:jc w:val="center"/>
              <w:rPr>
                <w:rFonts w:hint="eastAsia" w:ascii="宋体" w:hAnsi="宋体" w:cs="宋体"/>
                <w:szCs w:val="21"/>
              </w:rPr>
            </w:pPr>
            <w:r>
              <w:rPr>
                <w:rFonts w:hint="eastAsia" w:ascii="宋体" w:hAnsi="宋体" w:cs="宋体"/>
                <w:szCs w:val="21"/>
              </w:rPr>
              <w:t>A.2.6</w:t>
            </w:r>
          </w:p>
        </w:tc>
        <w:tc>
          <w:tcPr>
            <w:tcW w:w="1417" w:type="dxa"/>
            <w:vAlign w:val="center"/>
          </w:tcPr>
          <w:p w14:paraId="3E3FF6E7">
            <w:pPr>
              <w:adjustRightInd w:val="0"/>
              <w:snapToGrid w:val="0"/>
              <w:spacing w:line="400" w:lineRule="exact"/>
              <w:jc w:val="center"/>
              <w:rPr>
                <w:rFonts w:hint="eastAsia" w:ascii="宋体" w:hAnsi="宋体" w:cs="宋体"/>
                <w:szCs w:val="21"/>
              </w:rPr>
            </w:pPr>
            <w:r>
              <w:rPr>
                <w:rFonts w:hint="eastAsia" w:ascii="宋体" w:hAnsi="宋体" w:cs="宋体"/>
                <w:szCs w:val="21"/>
              </w:rPr>
              <w:t>是否接受联合体比选</w:t>
            </w:r>
          </w:p>
        </w:tc>
        <w:tc>
          <w:tcPr>
            <w:tcW w:w="6804" w:type="dxa"/>
            <w:vAlign w:val="center"/>
          </w:tcPr>
          <w:p w14:paraId="36EFD23C">
            <w:pPr>
              <w:adjustRightInd w:val="0"/>
              <w:snapToGrid w:val="0"/>
              <w:spacing w:line="400" w:lineRule="exact"/>
              <w:ind w:firstLine="403" w:firstLineChars="192"/>
              <w:rPr>
                <w:rFonts w:hint="eastAsia" w:ascii="宋体" w:hAnsi="宋体" w:cs="宋体"/>
                <w:szCs w:val="21"/>
              </w:rPr>
            </w:pPr>
            <w:r>
              <w:rPr>
                <w:rFonts w:ascii="宋体" w:hAnsi="宋体" w:cs="宋体"/>
                <w:szCs w:val="21"/>
              </w:rPr>
              <w:t>不接受</w:t>
            </w:r>
          </w:p>
        </w:tc>
      </w:tr>
      <w:tr w14:paraId="73BF3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3" w:type="dxa"/>
            <w:gridSpan w:val="3"/>
            <w:vAlign w:val="center"/>
          </w:tcPr>
          <w:p w14:paraId="0FC42B56">
            <w:pPr>
              <w:tabs>
                <w:tab w:val="left" w:pos="1050"/>
                <w:tab w:val="left" w:pos="1470"/>
              </w:tabs>
              <w:adjustRightInd w:val="0"/>
              <w:snapToGrid w:val="0"/>
              <w:spacing w:line="400" w:lineRule="exact"/>
              <w:jc w:val="center"/>
              <w:rPr>
                <w:rFonts w:hint="eastAsia" w:ascii="宋体" w:hAnsi="宋体" w:cs="宋体"/>
                <w:b/>
                <w:szCs w:val="21"/>
              </w:rPr>
            </w:pPr>
            <w:r>
              <w:rPr>
                <w:rFonts w:hint="eastAsia" w:ascii="宋体" w:hAnsi="宋体" w:cs="宋体"/>
                <w:b/>
                <w:szCs w:val="21"/>
              </w:rPr>
              <w:t>B  比 选 文 件 的 澄 清</w:t>
            </w:r>
          </w:p>
        </w:tc>
      </w:tr>
      <w:tr w14:paraId="2C9FB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112" w:type="dxa"/>
            <w:vAlign w:val="center"/>
          </w:tcPr>
          <w:p w14:paraId="0ADB55BE">
            <w:pPr>
              <w:adjustRightInd w:val="0"/>
              <w:snapToGrid w:val="0"/>
              <w:spacing w:line="400" w:lineRule="exact"/>
              <w:jc w:val="center"/>
              <w:rPr>
                <w:rFonts w:hint="eastAsia" w:ascii="宋体" w:hAnsi="宋体" w:cs="宋体"/>
                <w:szCs w:val="21"/>
              </w:rPr>
            </w:pPr>
            <w:r>
              <w:rPr>
                <w:rFonts w:hint="eastAsia" w:ascii="宋体" w:hAnsi="宋体" w:cs="宋体"/>
                <w:szCs w:val="21"/>
              </w:rPr>
              <w:t>B.5.2</w:t>
            </w:r>
          </w:p>
        </w:tc>
        <w:tc>
          <w:tcPr>
            <w:tcW w:w="1417" w:type="dxa"/>
            <w:vAlign w:val="center"/>
          </w:tcPr>
          <w:p w14:paraId="1B750902">
            <w:pPr>
              <w:adjustRightInd w:val="0"/>
              <w:snapToGrid w:val="0"/>
              <w:spacing w:line="400" w:lineRule="exact"/>
              <w:jc w:val="center"/>
              <w:rPr>
                <w:rFonts w:hint="eastAsia" w:ascii="宋体" w:hAnsi="宋体" w:cs="宋体"/>
                <w:szCs w:val="21"/>
              </w:rPr>
            </w:pPr>
            <w:r>
              <w:rPr>
                <w:rFonts w:hint="eastAsia" w:ascii="宋体" w:hAnsi="宋体" w:cs="宋体"/>
                <w:szCs w:val="21"/>
              </w:rPr>
              <w:t>比选供应商</w:t>
            </w:r>
            <w:r>
              <w:rPr>
                <w:rFonts w:hint="eastAsia" w:ascii="宋体" w:hAnsi="宋体" w:cs="宋体"/>
                <w:kern w:val="0"/>
                <w:szCs w:val="21"/>
              </w:rPr>
              <w:t>质疑比选文件的截止时间</w:t>
            </w:r>
          </w:p>
        </w:tc>
        <w:tc>
          <w:tcPr>
            <w:tcW w:w="6804" w:type="dxa"/>
            <w:vAlign w:val="center"/>
          </w:tcPr>
          <w:p w14:paraId="73E740EE">
            <w:pPr>
              <w:wordWrap w:val="0"/>
              <w:topLinePunct/>
              <w:spacing w:line="400" w:lineRule="exact"/>
              <w:ind w:firstLine="420" w:firstLineChars="200"/>
              <w:rPr>
                <w:rFonts w:hint="eastAsia" w:ascii="宋体" w:hAnsi="宋体" w:cs="宋体"/>
                <w:szCs w:val="21"/>
              </w:rPr>
            </w:pPr>
            <w:r>
              <w:rPr>
                <w:rFonts w:hint="eastAsia" w:ascii="宋体" w:hAnsi="宋体" w:cs="宋体"/>
                <w:szCs w:val="21"/>
              </w:rPr>
              <w:t>1.比选供应商在下载比选文件及附件后，若对本比选文件有疑问需要比选人澄清时，请于</w:t>
            </w:r>
            <w:r>
              <w:rPr>
                <w:rFonts w:hint="eastAsia" w:ascii="宋体" w:hAnsi="宋体" w:cs="宋体"/>
                <w:szCs w:val="21"/>
                <w:u w:val="single"/>
              </w:rPr>
              <w:t xml:space="preserve"> 2026 </w:t>
            </w:r>
            <w:r>
              <w:rPr>
                <w:rFonts w:hint="eastAsia" w:ascii="宋体" w:hAnsi="宋体" w:cs="宋体"/>
              </w:rPr>
              <w:t>年</w:t>
            </w:r>
            <w:r>
              <w:rPr>
                <w:rFonts w:hint="eastAsia" w:ascii="宋体" w:hAnsi="宋体" w:cs="宋体"/>
                <w:u w:val="single"/>
              </w:rPr>
              <w:t xml:space="preserve"> </w:t>
            </w:r>
            <w:r>
              <w:rPr>
                <w:rFonts w:hint="eastAsia" w:ascii="宋体" w:hAnsi="宋体" w:cs="宋体"/>
                <w:u w:val="single"/>
                <w:lang w:val="en-US" w:eastAsia="zh-CN"/>
              </w:rPr>
              <w:t xml:space="preserve"> 5</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23</w:t>
            </w:r>
            <w:r>
              <w:rPr>
                <w:rFonts w:ascii="宋体" w:hAnsi="宋体" w:cs="宋体"/>
                <w:szCs w:val="21"/>
                <w:u w:val="single"/>
              </w:rPr>
              <w:t xml:space="preserve"> </w:t>
            </w:r>
            <w:r>
              <w:rPr>
                <w:rFonts w:hint="eastAsia" w:ascii="宋体" w:hAnsi="宋体" w:cs="宋体"/>
                <w:szCs w:val="21"/>
              </w:rPr>
              <w:t>日</w:t>
            </w:r>
            <w:r>
              <w:rPr>
                <w:rFonts w:hint="eastAsia" w:ascii="宋体" w:hAnsi="宋体" w:cs="宋体"/>
                <w:szCs w:val="21"/>
                <w:u w:val="single"/>
              </w:rPr>
              <w:t xml:space="preserve"> 17 </w:t>
            </w:r>
            <w:r>
              <w:rPr>
                <w:rFonts w:hint="eastAsia" w:ascii="宋体" w:hAnsi="宋体" w:cs="宋体"/>
                <w:szCs w:val="21"/>
              </w:rPr>
              <w:t>时</w:t>
            </w:r>
            <w:r>
              <w:rPr>
                <w:rFonts w:hint="eastAsia" w:ascii="宋体" w:hAnsi="宋体" w:cs="宋体"/>
                <w:szCs w:val="21"/>
                <w:u w:val="single"/>
              </w:rPr>
              <w:t xml:space="preserve"> 00 </w:t>
            </w:r>
            <w:r>
              <w:rPr>
                <w:rFonts w:hint="eastAsia" w:ascii="宋体" w:hAnsi="宋体" w:cs="宋体"/>
                <w:szCs w:val="21"/>
              </w:rPr>
              <w:t>分前以书面形式向比选代理机构提出。</w:t>
            </w:r>
          </w:p>
          <w:p w14:paraId="09B2D4F0">
            <w:pPr>
              <w:spacing w:line="400" w:lineRule="exact"/>
              <w:ind w:firstLine="420" w:firstLineChars="200"/>
              <w:rPr>
                <w:rFonts w:hint="eastAsia" w:ascii="宋体" w:hAnsi="宋体" w:cs="宋体"/>
                <w:szCs w:val="21"/>
              </w:rPr>
            </w:pPr>
            <w:r>
              <w:rPr>
                <w:rFonts w:hint="eastAsia" w:ascii="宋体" w:hAnsi="宋体" w:cs="宋体"/>
                <w:szCs w:val="21"/>
              </w:rPr>
              <w:t>2.如在规定时间内没有对本项目比选文件提出异议的，视为完全理解并接受该比选文件的所有内容。</w:t>
            </w:r>
          </w:p>
        </w:tc>
      </w:tr>
      <w:tr w14:paraId="68A91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12" w:type="dxa"/>
            <w:vAlign w:val="center"/>
          </w:tcPr>
          <w:p w14:paraId="05A339EF">
            <w:pPr>
              <w:adjustRightInd w:val="0"/>
              <w:snapToGrid w:val="0"/>
              <w:spacing w:line="400" w:lineRule="exact"/>
              <w:jc w:val="center"/>
              <w:rPr>
                <w:rFonts w:hint="eastAsia" w:ascii="宋体" w:hAnsi="宋体" w:cs="宋体"/>
                <w:szCs w:val="21"/>
              </w:rPr>
            </w:pPr>
            <w:r>
              <w:rPr>
                <w:rFonts w:hint="eastAsia" w:ascii="宋体" w:hAnsi="宋体" w:cs="宋体"/>
                <w:szCs w:val="21"/>
              </w:rPr>
              <w:t>B.5.3</w:t>
            </w:r>
          </w:p>
        </w:tc>
        <w:tc>
          <w:tcPr>
            <w:tcW w:w="1417" w:type="dxa"/>
            <w:vAlign w:val="center"/>
          </w:tcPr>
          <w:p w14:paraId="61F23002">
            <w:pPr>
              <w:adjustRightInd w:val="0"/>
              <w:snapToGrid w:val="0"/>
              <w:spacing w:line="400" w:lineRule="exact"/>
              <w:jc w:val="center"/>
              <w:rPr>
                <w:rFonts w:hint="eastAsia" w:ascii="宋体" w:hAnsi="宋体" w:cs="宋体"/>
                <w:szCs w:val="21"/>
              </w:rPr>
            </w:pPr>
            <w:r>
              <w:rPr>
                <w:rFonts w:hint="eastAsia" w:ascii="宋体" w:hAnsi="宋体" w:cs="宋体"/>
                <w:szCs w:val="21"/>
              </w:rPr>
              <w:t>比选文件的答疑及补遗</w:t>
            </w:r>
          </w:p>
        </w:tc>
        <w:tc>
          <w:tcPr>
            <w:tcW w:w="6804" w:type="dxa"/>
            <w:vAlign w:val="center"/>
          </w:tcPr>
          <w:p w14:paraId="2328A0AF">
            <w:pPr>
              <w:tabs>
                <w:tab w:val="left" w:pos="630"/>
                <w:tab w:val="left" w:pos="1050"/>
              </w:tabs>
              <w:spacing w:line="400" w:lineRule="exact"/>
              <w:ind w:firstLine="420" w:firstLineChars="200"/>
              <w:rPr>
                <w:rFonts w:hint="eastAsia" w:ascii="宋体" w:hAnsi="宋体" w:cs="宋体"/>
                <w:szCs w:val="21"/>
              </w:rPr>
            </w:pPr>
            <w:r>
              <w:rPr>
                <w:rFonts w:hint="eastAsia" w:ascii="宋体" w:hAnsi="宋体" w:cs="宋体"/>
                <w:szCs w:val="21"/>
              </w:rPr>
              <w:t>比选人在认为有必要对比选供应商所提问题进行答复或对比选文件进行补充时，将于</w:t>
            </w:r>
            <w:r>
              <w:rPr>
                <w:rFonts w:hint="eastAsia" w:ascii="宋体" w:hAnsi="宋体" w:cs="宋体"/>
                <w:szCs w:val="21"/>
                <w:u w:val="single"/>
              </w:rPr>
              <w:t xml:space="preserve"> 2026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u w:val="single"/>
                <w:lang w:val="en-US" w:eastAsia="zh-CN"/>
              </w:rPr>
              <w:t>5</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25</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u w:val="single"/>
              </w:rPr>
              <w:t xml:space="preserve"> 17 </w:t>
            </w:r>
            <w:r>
              <w:rPr>
                <w:rFonts w:hint="eastAsia" w:ascii="宋体" w:hAnsi="宋体" w:cs="宋体"/>
                <w:szCs w:val="21"/>
              </w:rPr>
              <w:t>时</w:t>
            </w:r>
            <w:r>
              <w:rPr>
                <w:rFonts w:hint="eastAsia" w:ascii="宋体" w:hAnsi="宋体" w:cs="宋体"/>
                <w:szCs w:val="21"/>
                <w:u w:val="single"/>
              </w:rPr>
              <w:t xml:space="preserve"> 00 </w:t>
            </w:r>
            <w:r>
              <w:rPr>
                <w:rFonts w:hint="eastAsia" w:ascii="宋体" w:hAnsi="宋体" w:cs="宋体"/>
                <w:szCs w:val="21"/>
              </w:rPr>
              <w:t>分（北京时间）前在行采家（https://www.gec123.com/）、重庆理工职业学院官网校企合作一体化招标采购平台（http://www.cqip.com.cn/html/15/Index.shtml）网上发布答疑补遗文件。比选供应商自行查看或下载，不论比选供应商下载与否，比选人和比选代理机构都视为比选供应商收到有关本项目在行采家（https://www.gec123.com/）、重庆理工职业学院官网校企合作一体化招标采购平台（http://www.cqip.com.cn/html/15/Index.shtml）网上发布的所有资料并全部知晓有关比选过程和事宜，由此产生的一切后果由比选供应商自负。</w:t>
            </w:r>
          </w:p>
        </w:tc>
      </w:tr>
      <w:tr w14:paraId="5E5AB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3" w:type="dxa"/>
            <w:gridSpan w:val="3"/>
          </w:tcPr>
          <w:p w14:paraId="3A2CA8F6">
            <w:pPr>
              <w:tabs>
                <w:tab w:val="left" w:pos="1050"/>
                <w:tab w:val="left" w:pos="1470"/>
              </w:tabs>
              <w:adjustRightInd w:val="0"/>
              <w:snapToGrid w:val="0"/>
              <w:spacing w:line="400" w:lineRule="exact"/>
              <w:ind w:firstLine="422" w:firstLineChars="200"/>
              <w:jc w:val="center"/>
              <w:rPr>
                <w:rFonts w:hint="eastAsia" w:ascii="宋体" w:hAnsi="宋体" w:cs="宋体"/>
                <w:szCs w:val="21"/>
              </w:rPr>
            </w:pPr>
            <w:r>
              <w:rPr>
                <w:rFonts w:hint="eastAsia" w:ascii="宋体" w:hAnsi="宋体" w:cs="宋体"/>
                <w:b/>
                <w:szCs w:val="21"/>
              </w:rPr>
              <w:t>C  响 应 文 件</w:t>
            </w:r>
          </w:p>
        </w:tc>
      </w:tr>
      <w:tr w14:paraId="2CDA8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2" w:type="dxa"/>
            <w:vAlign w:val="center"/>
          </w:tcPr>
          <w:p w14:paraId="5A7D24E4">
            <w:pPr>
              <w:adjustRightInd w:val="0"/>
              <w:snapToGrid w:val="0"/>
              <w:spacing w:line="400" w:lineRule="exact"/>
              <w:jc w:val="center"/>
              <w:rPr>
                <w:rFonts w:hint="eastAsia" w:ascii="宋体" w:hAnsi="宋体" w:cs="宋体"/>
                <w:szCs w:val="21"/>
              </w:rPr>
            </w:pPr>
            <w:r>
              <w:rPr>
                <w:rFonts w:hint="eastAsia" w:ascii="宋体" w:hAnsi="宋体" w:cs="宋体"/>
                <w:szCs w:val="21"/>
              </w:rPr>
              <w:t>C.8</w:t>
            </w:r>
          </w:p>
        </w:tc>
        <w:tc>
          <w:tcPr>
            <w:tcW w:w="1417" w:type="dxa"/>
            <w:vAlign w:val="center"/>
          </w:tcPr>
          <w:p w14:paraId="0DFD1D9E">
            <w:pPr>
              <w:adjustRightInd w:val="0"/>
              <w:snapToGrid w:val="0"/>
              <w:spacing w:line="400" w:lineRule="exact"/>
              <w:jc w:val="center"/>
              <w:rPr>
                <w:rFonts w:hint="eastAsia" w:ascii="宋体" w:hAnsi="宋体" w:cs="宋体"/>
                <w:szCs w:val="21"/>
              </w:rPr>
            </w:pPr>
            <w:r>
              <w:rPr>
                <w:rFonts w:hint="eastAsia" w:ascii="宋体" w:hAnsi="宋体" w:cs="宋体"/>
                <w:szCs w:val="21"/>
              </w:rPr>
              <w:t>响应文件的组成</w:t>
            </w:r>
          </w:p>
        </w:tc>
        <w:tc>
          <w:tcPr>
            <w:tcW w:w="6804" w:type="dxa"/>
            <w:vAlign w:val="center"/>
          </w:tcPr>
          <w:p w14:paraId="4265E142">
            <w:pPr>
              <w:autoSpaceDE w:val="0"/>
              <w:autoSpaceDN w:val="0"/>
              <w:adjustRightInd w:val="0"/>
              <w:snapToGrid w:val="0"/>
              <w:spacing w:line="400" w:lineRule="exact"/>
              <w:ind w:left="357" w:leftChars="170"/>
              <w:jc w:val="left"/>
              <w:rPr>
                <w:rFonts w:hint="eastAsia" w:ascii="宋体" w:hAnsi="宋体" w:cs="宋体"/>
                <w:snapToGrid w:val="0"/>
                <w:kern w:val="0"/>
                <w:szCs w:val="21"/>
              </w:rPr>
            </w:pPr>
            <w:r>
              <w:rPr>
                <w:rFonts w:hint="eastAsia" w:ascii="宋体" w:hAnsi="宋体" w:cs="宋体"/>
                <w:snapToGrid w:val="0"/>
                <w:kern w:val="0"/>
                <w:szCs w:val="21"/>
              </w:rPr>
              <w:t>（1）竞争性比选函</w:t>
            </w:r>
          </w:p>
          <w:p w14:paraId="597F76EB">
            <w:pPr>
              <w:autoSpaceDE w:val="0"/>
              <w:autoSpaceDN w:val="0"/>
              <w:adjustRightInd w:val="0"/>
              <w:snapToGrid w:val="0"/>
              <w:spacing w:line="400" w:lineRule="exact"/>
              <w:ind w:left="357" w:leftChars="170"/>
              <w:jc w:val="left"/>
              <w:rPr>
                <w:rFonts w:hint="eastAsia" w:ascii="宋体" w:hAnsi="宋体" w:cs="宋体"/>
                <w:snapToGrid w:val="0"/>
                <w:kern w:val="0"/>
                <w:szCs w:val="21"/>
              </w:rPr>
            </w:pPr>
            <w:r>
              <w:rPr>
                <w:rFonts w:hint="eastAsia" w:ascii="宋体" w:hAnsi="宋体" w:cs="宋体"/>
                <w:snapToGrid w:val="0"/>
                <w:kern w:val="0"/>
                <w:szCs w:val="21"/>
              </w:rPr>
              <w:t>（2）法定代表人</w:t>
            </w:r>
            <w:r>
              <w:rPr>
                <w:rFonts w:hint="eastAsia" w:ascii="宋体" w:hAnsi="宋体" w:cs="宋体"/>
                <w:szCs w:val="21"/>
              </w:rPr>
              <w:t>（或单位负责人）</w:t>
            </w:r>
            <w:r>
              <w:rPr>
                <w:rFonts w:hint="eastAsia" w:ascii="宋体" w:hAnsi="宋体" w:cs="宋体"/>
                <w:snapToGrid w:val="0"/>
                <w:kern w:val="0"/>
                <w:szCs w:val="21"/>
              </w:rPr>
              <w:t>身份证明及授权委托书</w:t>
            </w:r>
          </w:p>
          <w:p w14:paraId="0A01FC54">
            <w:pPr>
              <w:autoSpaceDE w:val="0"/>
              <w:autoSpaceDN w:val="0"/>
              <w:adjustRightInd w:val="0"/>
              <w:snapToGrid w:val="0"/>
              <w:spacing w:line="400" w:lineRule="exact"/>
              <w:ind w:left="357" w:leftChars="170"/>
              <w:jc w:val="left"/>
              <w:rPr>
                <w:rFonts w:hint="eastAsia" w:ascii="宋体" w:hAnsi="宋体" w:cs="宋体"/>
                <w:snapToGrid w:val="0"/>
                <w:kern w:val="0"/>
                <w:szCs w:val="21"/>
              </w:rPr>
            </w:pPr>
            <w:r>
              <w:rPr>
                <w:rFonts w:hint="eastAsia" w:ascii="宋体" w:hAnsi="宋体" w:cs="宋体"/>
                <w:snapToGrid w:val="0"/>
                <w:kern w:val="0"/>
                <w:szCs w:val="21"/>
              </w:rPr>
              <w:t>（3）比选保证金</w:t>
            </w:r>
          </w:p>
          <w:p w14:paraId="0939C5A9">
            <w:pPr>
              <w:autoSpaceDE w:val="0"/>
              <w:autoSpaceDN w:val="0"/>
              <w:adjustRightInd w:val="0"/>
              <w:snapToGrid w:val="0"/>
              <w:spacing w:line="400" w:lineRule="exact"/>
              <w:ind w:left="357" w:leftChars="170"/>
              <w:jc w:val="left"/>
              <w:rPr>
                <w:rFonts w:hint="eastAsia" w:ascii="宋体" w:hAnsi="宋体" w:cs="宋体"/>
                <w:snapToGrid w:val="0"/>
                <w:kern w:val="0"/>
                <w:szCs w:val="21"/>
              </w:rPr>
            </w:pPr>
            <w:r>
              <w:rPr>
                <w:rFonts w:hint="eastAsia" w:ascii="宋体" w:hAnsi="宋体" w:cs="宋体"/>
                <w:snapToGrid w:val="0"/>
                <w:kern w:val="0"/>
                <w:szCs w:val="21"/>
              </w:rPr>
              <w:t>（4）报价明细表</w:t>
            </w:r>
          </w:p>
          <w:p w14:paraId="08609F24">
            <w:pPr>
              <w:autoSpaceDE w:val="0"/>
              <w:autoSpaceDN w:val="0"/>
              <w:adjustRightInd w:val="0"/>
              <w:snapToGrid w:val="0"/>
              <w:spacing w:line="400" w:lineRule="exact"/>
              <w:ind w:left="357" w:leftChars="170"/>
              <w:jc w:val="left"/>
              <w:rPr>
                <w:rFonts w:hint="eastAsia" w:ascii="宋体" w:hAnsi="宋体" w:cs="宋体"/>
              </w:rPr>
            </w:pPr>
            <w:r>
              <w:rPr>
                <w:rFonts w:hint="eastAsia" w:ascii="宋体" w:hAnsi="宋体" w:cs="宋体"/>
              </w:rPr>
              <w:t>（5）</w:t>
            </w:r>
            <w:r>
              <w:rPr>
                <w:rFonts w:hint="eastAsia" w:ascii="宋体" w:hAnsi="宋体" w:cs="宋体"/>
                <w:snapToGrid w:val="0"/>
                <w:kern w:val="0"/>
                <w:szCs w:val="21"/>
              </w:rPr>
              <w:t>比选供应商应提供的各类证明材料</w:t>
            </w:r>
          </w:p>
          <w:p w14:paraId="7DC5EB23">
            <w:pPr>
              <w:autoSpaceDE w:val="0"/>
              <w:autoSpaceDN w:val="0"/>
              <w:adjustRightInd w:val="0"/>
              <w:snapToGrid w:val="0"/>
              <w:spacing w:line="400" w:lineRule="exact"/>
              <w:ind w:left="357" w:leftChars="170"/>
              <w:jc w:val="left"/>
              <w:rPr>
                <w:b/>
                <w:i/>
                <w:szCs w:val="21"/>
                <w:highlight w:val="yellow"/>
              </w:rPr>
            </w:pPr>
            <w:r>
              <w:rPr>
                <w:rFonts w:hint="eastAsia" w:ascii="宋体" w:hAnsi="宋体" w:cs="宋体"/>
                <w:snapToGrid w:val="0"/>
                <w:kern w:val="0"/>
                <w:szCs w:val="21"/>
              </w:rPr>
              <w:t>（6）比选供应商须知前附表规定的其他资料或比选供应商认为需要提供的其他资料</w:t>
            </w:r>
          </w:p>
        </w:tc>
      </w:tr>
      <w:tr w14:paraId="3CF77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2" w:type="dxa"/>
            <w:vAlign w:val="center"/>
          </w:tcPr>
          <w:p w14:paraId="576DCEC6">
            <w:pPr>
              <w:adjustRightInd w:val="0"/>
              <w:snapToGrid w:val="0"/>
              <w:spacing w:line="400" w:lineRule="exact"/>
              <w:jc w:val="center"/>
              <w:rPr>
                <w:rFonts w:hint="eastAsia" w:ascii="宋体" w:hAnsi="宋体" w:cs="宋体"/>
                <w:szCs w:val="21"/>
              </w:rPr>
            </w:pPr>
            <w:r>
              <w:rPr>
                <w:rFonts w:hint="eastAsia" w:ascii="宋体" w:hAnsi="宋体" w:cs="宋体"/>
                <w:szCs w:val="21"/>
              </w:rPr>
              <w:t>C.11.</w:t>
            </w:r>
            <w:r>
              <w:rPr>
                <w:rFonts w:ascii="宋体" w:hAnsi="宋体" w:cs="宋体"/>
                <w:szCs w:val="21"/>
              </w:rPr>
              <w:t>1</w:t>
            </w:r>
          </w:p>
        </w:tc>
        <w:tc>
          <w:tcPr>
            <w:tcW w:w="1417" w:type="dxa"/>
            <w:vAlign w:val="center"/>
          </w:tcPr>
          <w:p w14:paraId="2AA25F4B">
            <w:pPr>
              <w:adjustRightInd w:val="0"/>
              <w:snapToGrid w:val="0"/>
              <w:spacing w:line="400" w:lineRule="exact"/>
              <w:jc w:val="center"/>
              <w:rPr>
                <w:rFonts w:hint="eastAsia" w:ascii="宋体" w:hAnsi="宋体" w:cs="宋体"/>
                <w:szCs w:val="21"/>
              </w:rPr>
            </w:pPr>
            <w:r>
              <w:rPr>
                <w:rFonts w:hint="eastAsia" w:ascii="宋体" w:hAnsi="宋体" w:cs="宋体"/>
                <w:szCs w:val="21"/>
              </w:rPr>
              <w:t>比选货币</w:t>
            </w:r>
          </w:p>
        </w:tc>
        <w:tc>
          <w:tcPr>
            <w:tcW w:w="6804" w:type="dxa"/>
            <w:vAlign w:val="center"/>
          </w:tcPr>
          <w:p w14:paraId="322E8029">
            <w:pPr>
              <w:adjustRightInd w:val="0"/>
              <w:snapToGrid w:val="0"/>
              <w:spacing w:line="400" w:lineRule="exact"/>
              <w:ind w:firstLine="315" w:firstLineChars="150"/>
              <w:rPr>
                <w:rFonts w:hint="eastAsia" w:ascii="宋体" w:hAnsi="宋体" w:cs="宋体"/>
                <w:szCs w:val="21"/>
              </w:rPr>
            </w:pPr>
            <w:r>
              <w:rPr>
                <w:rFonts w:hint="eastAsia" w:ascii="宋体" w:hAnsi="宋体" w:cs="宋体"/>
                <w:szCs w:val="21"/>
              </w:rPr>
              <w:t>人民币。</w:t>
            </w:r>
          </w:p>
        </w:tc>
      </w:tr>
      <w:tr w14:paraId="55C3B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2" w:type="dxa"/>
            <w:vAlign w:val="center"/>
          </w:tcPr>
          <w:p w14:paraId="7D6CA7F9">
            <w:pPr>
              <w:adjustRightInd w:val="0"/>
              <w:snapToGrid w:val="0"/>
              <w:spacing w:line="400" w:lineRule="exact"/>
              <w:jc w:val="center"/>
              <w:rPr>
                <w:rFonts w:hint="eastAsia" w:ascii="宋体" w:hAnsi="宋体" w:cs="宋体"/>
                <w:szCs w:val="21"/>
              </w:rPr>
            </w:pPr>
            <w:bookmarkStart w:id="27" w:name="_Hlk146226975"/>
            <w:r>
              <w:rPr>
                <w:rFonts w:hint="eastAsia" w:ascii="宋体" w:hAnsi="宋体" w:cs="宋体"/>
                <w:szCs w:val="21"/>
              </w:rPr>
              <w:t>C.11.4</w:t>
            </w:r>
          </w:p>
        </w:tc>
        <w:tc>
          <w:tcPr>
            <w:tcW w:w="1417" w:type="dxa"/>
            <w:vAlign w:val="center"/>
          </w:tcPr>
          <w:p w14:paraId="4C7507DF">
            <w:pPr>
              <w:adjustRightInd w:val="0"/>
              <w:snapToGrid w:val="0"/>
              <w:spacing w:line="400" w:lineRule="exact"/>
              <w:jc w:val="center"/>
              <w:rPr>
                <w:rFonts w:hint="eastAsia" w:ascii="宋体" w:hAnsi="宋体" w:cs="宋体"/>
                <w:szCs w:val="21"/>
              </w:rPr>
            </w:pPr>
            <w:r>
              <w:rPr>
                <w:rFonts w:hint="eastAsia" w:ascii="宋体" w:hAnsi="宋体" w:cs="宋体"/>
                <w:szCs w:val="21"/>
              </w:rPr>
              <w:t>比选报价</w:t>
            </w:r>
          </w:p>
        </w:tc>
        <w:tc>
          <w:tcPr>
            <w:tcW w:w="6804" w:type="dxa"/>
          </w:tcPr>
          <w:p w14:paraId="40BBDF23">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b/>
                <w:bCs/>
                <w:kern w:val="0"/>
                <w:szCs w:val="21"/>
              </w:rPr>
            </w:pPr>
            <w:r>
              <w:rPr>
                <w:rFonts w:hint="eastAsia" w:ascii="宋体" w:hAnsi="宋体"/>
                <w:b/>
                <w:bCs/>
                <w:kern w:val="0"/>
                <w:szCs w:val="21"/>
              </w:rPr>
              <w:t>一、比选报价及最高限价</w:t>
            </w:r>
          </w:p>
          <w:p w14:paraId="026C157D">
            <w:pPr>
              <w:pStyle w:val="43"/>
              <w:keepNext w:val="0"/>
              <w:keepLines w:val="0"/>
              <w:pageBreakBefore w:val="0"/>
              <w:widowControl w:val="0"/>
              <w:kinsoku/>
              <w:wordWrap/>
              <w:overflowPunct/>
              <w:topLinePunct w:val="0"/>
              <w:autoSpaceDE/>
              <w:autoSpaceDN/>
              <w:bidi w:val="0"/>
              <w:adjustRightInd/>
              <w:spacing w:line="400" w:lineRule="exact"/>
              <w:jc w:val="both"/>
              <w:textAlignment w:val="auto"/>
              <w:rPr>
                <w:rFonts w:hint="eastAsia"/>
              </w:rPr>
            </w:pPr>
            <w:r>
              <w:t>1.</w:t>
            </w:r>
            <w:r>
              <w:rPr>
                <w:rFonts w:hint="eastAsia"/>
              </w:rPr>
              <w:t>报价方式</w:t>
            </w:r>
          </w:p>
          <w:p w14:paraId="03B838DE">
            <w:pPr>
              <w:keepNext w:val="0"/>
              <w:keepLines w:val="0"/>
              <w:pageBreakBefore w:val="0"/>
              <w:widowControl w:val="0"/>
              <w:kinsoku/>
              <w:wordWrap/>
              <w:overflowPunct/>
              <w:topLinePunct w:val="0"/>
              <w:autoSpaceDE/>
              <w:autoSpaceDN/>
              <w:bidi w:val="0"/>
              <w:adjustRightInd/>
              <w:spacing w:line="400" w:lineRule="exact"/>
              <w:ind w:firstLine="420" w:firstLineChars="200"/>
              <w:jc w:val="left"/>
              <w:textAlignment w:val="auto"/>
              <w:rPr>
                <w:rFonts w:hint="eastAsia" w:ascii="宋体" w:hAnsi="宋体"/>
                <w:kern w:val="0"/>
                <w:szCs w:val="21"/>
              </w:rPr>
            </w:pPr>
            <w:r>
              <w:rPr>
                <w:rFonts w:hint="eastAsia" w:ascii="宋体" w:hAnsi="宋体"/>
                <w:kern w:val="0"/>
                <w:szCs w:val="21"/>
              </w:rPr>
              <w:t>（1）本项目采用</w:t>
            </w:r>
            <w:r>
              <w:rPr>
                <w:rFonts w:hint="eastAsia" w:ascii="宋体" w:hAnsi="宋体"/>
                <w:kern w:val="0"/>
                <w:szCs w:val="21"/>
                <w:lang w:val="en-US" w:eastAsia="zh-CN"/>
              </w:rPr>
              <w:t>多</w:t>
            </w:r>
            <w:r>
              <w:rPr>
                <w:rFonts w:hint="eastAsia" w:ascii="宋体" w:hAnsi="宋体"/>
                <w:kern w:val="0"/>
                <w:szCs w:val="21"/>
              </w:rPr>
              <w:t>轮</w:t>
            </w:r>
            <w:r>
              <w:rPr>
                <w:rFonts w:hint="eastAsia" w:ascii="宋体" w:hAnsi="宋体"/>
                <w:kern w:val="0"/>
                <w:szCs w:val="21"/>
                <w:lang w:val="en-US" w:eastAsia="zh-CN"/>
              </w:rPr>
              <w:t>谈判</w:t>
            </w:r>
            <w:r>
              <w:rPr>
                <w:rFonts w:hint="eastAsia" w:ascii="宋体" w:hAnsi="宋体"/>
                <w:kern w:val="0"/>
                <w:szCs w:val="21"/>
              </w:rPr>
              <w:t>报价，响应文件比选报价函中的报价</w:t>
            </w:r>
            <w:r>
              <w:rPr>
                <w:rFonts w:hint="eastAsia" w:ascii="宋体" w:hAnsi="宋体"/>
                <w:kern w:val="0"/>
                <w:szCs w:val="21"/>
                <w:lang w:val="en-US" w:eastAsia="zh-CN"/>
              </w:rPr>
              <w:t>视</w:t>
            </w:r>
            <w:r>
              <w:rPr>
                <w:rFonts w:hint="eastAsia" w:ascii="宋体" w:hAnsi="宋体"/>
                <w:kern w:val="0"/>
                <w:szCs w:val="21"/>
              </w:rPr>
              <w:t>为第一轮</w:t>
            </w:r>
            <w:r>
              <w:rPr>
                <w:rFonts w:hint="eastAsia" w:ascii="宋体" w:hAnsi="宋体"/>
                <w:kern w:val="0"/>
                <w:szCs w:val="21"/>
                <w:lang w:val="en-US" w:eastAsia="zh-CN"/>
              </w:rPr>
              <w:t>谈判</w:t>
            </w:r>
            <w:r>
              <w:rPr>
                <w:rFonts w:hint="eastAsia" w:ascii="宋体" w:hAnsi="宋体"/>
                <w:kern w:val="0"/>
                <w:szCs w:val="21"/>
              </w:rPr>
              <w:t>报价，其余</w:t>
            </w:r>
            <w:r>
              <w:rPr>
                <w:rFonts w:hint="eastAsia" w:ascii="宋体" w:hAnsi="宋体"/>
                <w:kern w:val="0"/>
                <w:szCs w:val="21"/>
                <w:lang w:val="en-US" w:eastAsia="zh-CN"/>
              </w:rPr>
              <w:t>多</w:t>
            </w:r>
            <w:r>
              <w:rPr>
                <w:rFonts w:hint="eastAsia" w:ascii="宋体" w:hAnsi="宋体"/>
                <w:kern w:val="0"/>
                <w:szCs w:val="21"/>
              </w:rPr>
              <w:t>轮均为现场</w:t>
            </w:r>
            <w:r>
              <w:rPr>
                <w:rFonts w:hint="eastAsia" w:ascii="宋体" w:hAnsi="宋体"/>
                <w:kern w:val="0"/>
                <w:szCs w:val="21"/>
                <w:lang w:val="en-US" w:eastAsia="zh-CN"/>
              </w:rPr>
              <w:t>谈判</w:t>
            </w:r>
            <w:r>
              <w:rPr>
                <w:rFonts w:hint="eastAsia" w:ascii="宋体" w:hAnsi="宋体"/>
                <w:kern w:val="0"/>
                <w:szCs w:val="21"/>
              </w:rPr>
              <w:t>报价。每轮</w:t>
            </w:r>
            <w:r>
              <w:rPr>
                <w:rFonts w:hint="eastAsia" w:ascii="宋体" w:hAnsi="宋体"/>
                <w:kern w:val="0"/>
                <w:szCs w:val="21"/>
                <w:lang w:val="en-US" w:eastAsia="zh-CN"/>
              </w:rPr>
              <w:t>谈判</w:t>
            </w:r>
            <w:r>
              <w:rPr>
                <w:rFonts w:hint="eastAsia" w:ascii="宋体" w:hAnsi="宋体"/>
                <w:kern w:val="0"/>
                <w:szCs w:val="21"/>
              </w:rPr>
              <w:t>报价完后评审委员会可与满足竞争性比选文件全部实质性要求的供应商进行</w:t>
            </w:r>
            <w:r>
              <w:rPr>
                <w:rFonts w:hint="eastAsia" w:ascii="宋体" w:hAnsi="宋体"/>
                <w:kern w:val="0"/>
                <w:szCs w:val="21"/>
                <w:lang w:val="en-US" w:eastAsia="zh-CN"/>
              </w:rPr>
              <w:t>价格</w:t>
            </w:r>
            <w:r>
              <w:rPr>
                <w:rFonts w:hint="eastAsia" w:ascii="宋体" w:hAnsi="宋体"/>
                <w:kern w:val="0"/>
                <w:szCs w:val="21"/>
              </w:rPr>
              <w:t>谈判，</w:t>
            </w:r>
            <w:r>
              <w:rPr>
                <w:rFonts w:hint="eastAsia" w:ascii="宋体" w:hAnsi="宋体"/>
                <w:kern w:val="0"/>
                <w:szCs w:val="21"/>
                <w:lang w:val="en-US" w:eastAsia="zh-CN"/>
              </w:rPr>
              <w:t>直到谈到评审委员会认定的满意且合理的价格为止。最后一轮报价为最终报价，评审委员会</w:t>
            </w:r>
            <w:r>
              <w:rPr>
                <w:rFonts w:hint="eastAsia" w:ascii="宋体" w:hAnsi="宋体"/>
                <w:kern w:val="0"/>
                <w:szCs w:val="21"/>
              </w:rPr>
              <w:t>对最</w:t>
            </w:r>
            <w:r>
              <w:rPr>
                <w:rFonts w:hint="eastAsia" w:ascii="宋体" w:hAnsi="宋体"/>
                <w:kern w:val="0"/>
                <w:szCs w:val="21"/>
                <w:lang w:val="en-US" w:eastAsia="zh-CN"/>
              </w:rPr>
              <w:t>终</w:t>
            </w:r>
            <w:r>
              <w:rPr>
                <w:rFonts w:hint="eastAsia" w:ascii="宋体" w:hAnsi="宋体"/>
                <w:kern w:val="0"/>
                <w:szCs w:val="21"/>
              </w:rPr>
              <w:t>报价进行评审。</w:t>
            </w:r>
          </w:p>
          <w:p w14:paraId="7DB88439">
            <w:pPr>
              <w:keepNext w:val="0"/>
              <w:keepLines w:val="0"/>
              <w:pageBreakBefore w:val="0"/>
              <w:widowControl w:val="0"/>
              <w:kinsoku/>
              <w:wordWrap/>
              <w:overflowPunct/>
              <w:topLinePunct w:val="0"/>
              <w:autoSpaceDE/>
              <w:autoSpaceDN/>
              <w:bidi w:val="0"/>
              <w:adjustRightInd/>
              <w:spacing w:line="400" w:lineRule="exact"/>
              <w:ind w:firstLine="420" w:firstLineChars="200"/>
              <w:jc w:val="left"/>
              <w:textAlignment w:val="auto"/>
              <w:rPr>
                <w:rFonts w:hint="eastAsia" w:ascii="宋体" w:hAnsi="宋体" w:cs="宋体"/>
                <w:szCs w:val="21"/>
              </w:rPr>
            </w:pPr>
            <w:r>
              <w:rPr>
                <w:rFonts w:hint="eastAsia" w:ascii="宋体" w:hAnsi="宋体"/>
                <w:kern w:val="0"/>
                <w:szCs w:val="21"/>
              </w:rPr>
              <w:t>（2）</w:t>
            </w:r>
            <w:r>
              <w:rPr>
                <w:rFonts w:hint="eastAsia" w:ascii="宋体" w:hAnsi="宋体" w:cs="宋体"/>
                <w:szCs w:val="21"/>
              </w:rPr>
              <w:t>比选供应商的</w:t>
            </w:r>
            <w:r>
              <w:rPr>
                <w:rFonts w:hint="eastAsia" w:ascii="宋体" w:hAnsi="宋体"/>
                <w:kern w:val="0"/>
                <w:szCs w:val="21"/>
              </w:rPr>
              <w:t>最后报价</w:t>
            </w:r>
            <w:r>
              <w:rPr>
                <w:rFonts w:hint="eastAsia" w:ascii="宋体" w:hAnsi="宋体" w:cs="宋体"/>
                <w:szCs w:val="21"/>
              </w:rPr>
              <w:t>应包含但不限于完成本项目比选内容全部工作内容所需的货物价款、安装调试费、包装费、装卸费、运输费、管理费、税费、维保费、售后服务费等所有费用。一旦中选，比选人不再额外支付任何费用。</w:t>
            </w:r>
          </w:p>
          <w:p w14:paraId="2AB56BF2">
            <w:pPr>
              <w:pStyle w:val="43"/>
              <w:keepNext w:val="0"/>
              <w:keepLines w:val="0"/>
              <w:pageBreakBefore w:val="0"/>
              <w:widowControl w:val="0"/>
              <w:kinsoku/>
              <w:wordWrap/>
              <w:overflowPunct/>
              <w:topLinePunct w:val="0"/>
              <w:autoSpaceDE/>
              <w:autoSpaceDN/>
              <w:bidi w:val="0"/>
              <w:adjustRightInd/>
              <w:spacing w:line="400" w:lineRule="exact"/>
              <w:jc w:val="both"/>
              <w:textAlignment w:val="auto"/>
              <w:rPr>
                <w:rFonts w:hint="eastAsia"/>
              </w:rPr>
            </w:pPr>
            <w:r>
              <w:t>2.</w:t>
            </w:r>
            <w:r>
              <w:rPr>
                <w:rFonts w:hint="eastAsia"/>
              </w:rPr>
              <w:t>限价方式</w:t>
            </w:r>
          </w:p>
          <w:p w14:paraId="0CFAE72D">
            <w:pPr>
              <w:keepNext w:val="0"/>
              <w:keepLines w:val="0"/>
              <w:pageBreakBefore w:val="0"/>
              <w:widowControl w:val="0"/>
              <w:kinsoku/>
              <w:wordWrap/>
              <w:overflowPunct/>
              <w:topLinePunct w:val="0"/>
              <w:autoSpaceDE/>
              <w:autoSpaceDN/>
              <w:bidi w:val="0"/>
              <w:adjustRightInd/>
              <w:spacing w:line="400" w:lineRule="exact"/>
              <w:ind w:firstLine="310" w:firstLineChars="147"/>
              <w:textAlignment w:val="auto"/>
              <w:rPr>
                <w:rFonts w:hint="eastAsia" w:ascii="宋体" w:hAnsi="宋体" w:cs="宋体"/>
                <w:b/>
                <w:bCs/>
                <w:kern w:val="0"/>
                <w:szCs w:val="21"/>
              </w:rPr>
            </w:pPr>
            <w:r>
              <w:rPr>
                <w:rFonts w:hint="eastAsia" w:hAnsi="宋体" w:cs="宋体"/>
                <w:b/>
                <w:bCs/>
                <w:kern w:val="0"/>
                <w:szCs w:val="21"/>
              </w:rPr>
              <w:t>本项目设置含税总价最高限价。</w:t>
            </w:r>
            <w:r>
              <w:rPr>
                <w:rFonts w:hint="eastAsia" w:ascii="宋体" w:hAnsi="宋体" w:cs="宋体"/>
                <w:b/>
                <w:bCs/>
                <w:kern w:val="0"/>
                <w:szCs w:val="21"/>
              </w:rPr>
              <w:t xml:space="preserve">含税总价最高限价为：¥ </w:t>
            </w:r>
            <w:r>
              <w:rPr>
                <w:rFonts w:hint="eastAsia" w:ascii="宋体" w:hAnsi="宋体" w:cs="宋体"/>
                <w:b/>
                <w:bCs/>
                <w:kern w:val="0"/>
                <w:szCs w:val="21"/>
                <w:u w:val="single"/>
                <w:lang w:val="en-US" w:eastAsia="zh-CN"/>
              </w:rPr>
              <w:t>192.75</w:t>
            </w:r>
            <w:r>
              <w:rPr>
                <w:rFonts w:hint="eastAsia" w:ascii="宋体" w:hAnsi="宋体" w:cs="宋体"/>
                <w:b/>
                <w:bCs/>
                <w:kern w:val="0"/>
                <w:szCs w:val="21"/>
              </w:rPr>
              <w:t xml:space="preserve"> 万元。</w:t>
            </w:r>
          </w:p>
          <w:p w14:paraId="10836F09">
            <w:pPr>
              <w:keepNext w:val="0"/>
              <w:keepLines w:val="0"/>
              <w:pageBreakBefore w:val="0"/>
              <w:widowControl w:val="0"/>
              <w:kinsoku/>
              <w:wordWrap/>
              <w:overflowPunct/>
              <w:topLinePunct w:val="0"/>
              <w:autoSpaceDE/>
              <w:autoSpaceDN/>
              <w:bidi w:val="0"/>
              <w:adjustRightInd/>
              <w:spacing w:line="400" w:lineRule="exact"/>
              <w:ind w:firstLine="310" w:firstLineChars="147"/>
              <w:textAlignment w:val="auto"/>
              <w:rPr>
                <w:rFonts w:hint="eastAsia" w:ascii="宋体" w:hAnsi="宋体" w:cs="宋体"/>
                <w:szCs w:val="21"/>
              </w:rPr>
            </w:pPr>
            <w:r>
              <w:rPr>
                <w:rFonts w:hint="eastAsia" w:ascii="宋体" w:hAnsi="宋体" w:cs="宋体"/>
                <w:b/>
                <w:bCs/>
                <w:szCs w:val="21"/>
              </w:rPr>
              <w:t>二、报价原则</w:t>
            </w:r>
          </w:p>
          <w:p w14:paraId="1D475CE7">
            <w:pPr>
              <w:keepNext w:val="0"/>
              <w:keepLines w:val="0"/>
              <w:pageBreakBefore w:val="0"/>
              <w:widowControl w:val="0"/>
              <w:kinsoku/>
              <w:wordWrap/>
              <w:overflowPunct/>
              <w:topLinePunct w:val="0"/>
              <w:autoSpaceDE/>
              <w:autoSpaceDN/>
              <w:bidi w:val="0"/>
              <w:adjustRightInd/>
              <w:spacing w:line="400" w:lineRule="exact"/>
              <w:ind w:firstLine="308" w:firstLineChars="147"/>
              <w:textAlignment w:val="auto"/>
              <w:rPr>
                <w:rFonts w:hint="eastAsia" w:ascii="宋体" w:hAnsi="宋体" w:cs="宋体"/>
                <w:b/>
                <w:bCs/>
                <w:szCs w:val="21"/>
              </w:rPr>
            </w:pPr>
            <w:r>
              <w:rPr>
                <w:rFonts w:hint="eastAsia" w:ascii="宋体" w:hAnsi="宋体" w:cs="宋体"/>
                <w:szCs w:val="21"/>
              </w:rPr>
              <w:t>比选供应商应严格根据比选文件及相关资料，结合市场价格、依据企业自身实力、技术及生产管理水平等，进行自主报价。</w:t>
            </w:r>
          </w:p>
        </w:tc>
      </w:tr>
      <w:bookmarkEnd w:id="27"/>
      <w:tr w14:paraId="2352E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1112" w:type="dxa"/>
            <w:vAlign w:val="center"/>
          </w:tcPr>
          <w:p w14:paraId="509C04FE">
            <w:pPr>
              <w:adjustRightInd w:val="0"/>
              <w:snapToGrid w:val="0"/>
              <w:spacing w:line="400" w:lineRule="exact"/>
              <w:jc w:val="center"/>
              <w:rPr>
                <w:rFonts w:hint="eastAsia" w:ascii="宋体" w:hAnsi="宋体" w:cs="宋体"/>
                <w:szCs w:val="21"/>
              </w:rPr>
            </w:pPr>
            <w:r>
              <w:rPr>
                <w:rFonts w:hint="eastAsia" w:ascii="宋体" w:hAnsi="宋体" w:cs="宋体"/>
                <w:szCs w:val="21"/>
              </w:rPr>
              <w:t>C.</w:t>
            </w:r>
            <w:r>
              <w:rPr>
                <w:rFonts w:ascii="宋体" w:hAnsi="宋体" w:cs="宋体"/>
                <w:szCs w:val="21"/>
              </w:rPr>
              <w:t>12</w:t>
            </w:r>
          </w:p>
        </w:tc>
        <w:tc>
          <w:tcPr>
            <w:tcW w:w="1417" w:type="dxa"/>
            <w:vAlign w:val="center"/>
          </w:tcPr>
          <w:p w14:paraId="0C786AA1">
            <w:pPr>
              <w:adjustRightInd w:val="0"/>
              <w:snapToGrid w:val="0"/>
              <w:spacing w:line="400" w:lineRule="exact"/>
              <w:jc w:val="center"/>
              <w:rPr>
                <w:rFonts w:hint="eastAsia" w:ascii="宋体" w:hAnsi="宋体" w:cs="宋体"/>
                <w:szCs w:val="21"/>
              </w:rPr>
            </w:pPr>
            <w:r>
              <w:rPr>
                <w:rFonts w:hint="eastAsia" w:ascii="宋体" w:hAnsi="宋体" w:cs="宋体"/>
                <w:szCs w:val="21"/>
              </w:rPr>
              <w:t>比选保证金</w:t>
            </w:r>
          </w:p>
        </w:tc>
        <w:tc>
          <w:tcPr>
            <w:tcW w:w="6804" w:type="dxa"/>
            <w:vAlign w:val="center"/>
          </w:tcPr>
          <w:p w14:paraId="029F5A9D">
            <w:pPr>
              <w:widowControl/>
              <w:wordWrap w:val="0"/>
              <w:topLinePunct/>
              <w:snapToGrid w:val="0"/>
              <w:spacing w:line="400" w:lineRule="exact"/>
              <w:rPr>
                <w:rFonts w:hint="eastAsia" w:ascii="宋体" w:hAnsi="宋体" w:cs="宋体"/>
                <w:b/>
                <w:bCs/>
                <w:kern w:val="0"/>
                <w:szCs w:val="21"/>
              </w:rPr>
            </w:pPr>
            <w:r>
              <w:rPr>
                <w:rFonts w:hint="eastAsia" w:ascii="宋体" w:hAnsi="宋体" w:cs="宋体"/>
                <w:b/>
                <w:bCs/>
                <w:kern w:val="0"/>
                <w:szCs w:val="21"/>
              </w:rPr>
              <w:t>以转账支票或电汇形式交纳比选保证金</w:t>
            </w:r>
          </w:p>
          <w:p w14:paraId="3663EE63">
            <w:pPr>
              <w:widowControl/>
              <w:wordWrap w:val="0"/>
              <w:topLinePunct/>
              <w:snapToGrid w:val="0"/>
              <w:spacing w:line="400" w:lineRule="exact"/>
              <w:ind w:firstLine="420" w:firstLineChars="200"/>
              <w:rPr>
                <w:rFonts w:hint="eastAsia" w:ascii="宋体" w:hAnsi="宋体" w:cs="宋体"/>
                <w:kern w:val="0"/>
                <w:szCs w:val="21"/>
              </w:rPr>
            </w:pPr>
            <w:r>
              <w:rPr>
                <w:rFonts w:hint="eastAsia" w:ascii="宋体" w:hAnsi="宋体" w:cs="宋体"/>
                <w:kern w:val="0"/>
                <w:szCs w:val="21"/>
              </w:rPr>
              <w:t>1.</w:t>
            </w:r>
            <w:r>
              <w:rPr>
                <w:rFonts w:hint="eastAsia" w:ascii="宋体" w:hAnsi="宋体" w:cs="宋体"/>
                <w:szCs w:val="21"/>
              </w:rPr>
              <w:t>比选</w:t>
            </w:r>
            <w:r>
              <w:rPr>
                <w:rFonts w:hint="eastAsia" w:ascii="宋体" w:hAnsi="宋体" w:cs="宋体"/>
                <w:kern w:val="0"/>
                <w:szCs w:val="21"/>
              </w:rPr>
              <w:t>保证金交款形式及要求：比选供应商从其账户（开户行）在比选截止时间前通过转账支票直接划付或以电汇方式直接划付至下面指定的比选保证金账户。若比选截止时间延期，则比选保证金提交的截止时间和比选截止时间保持一致。不满足上述要求的比选保证金无效。</w:t>
            </w:r>
          </w:p>
          <w:p w14:paraId="32BD0C08">
            <w:pPr>
              <w:widowControl/>
              <w:wordWrap w:val="0"/>
              <w:topLinePunct/>
              <w:snapToGrid w:val="0"/>
              <w:spacing w:line="400" w:lineRule="exact"/>
              <w:ind w:firstLine="420" w:firstLineChars="200"/>
              <w:rPr>
                <w:rFonts w:hint="eastAsia" w:ascii="宋体" w:hAnsi="宋体" w:cs="宋体"/>
                <w:kern w:val="0"/>
                <w:szCs w:val="21"/>
              </w:rPr>
            </w:pPr>
            <w:r>
              <w:rPr>
                <w:rFonts w:hint="eastAsia" w:ascii="宋体" w:hAnsi="宋体" w:cs="宋体"/>
                <w:kern w:val="0"/>
                <w:szCs w:val="21"/>
              </w:rPr>
              <w:t>比选供应商自行考虑汇入时间风险，如同城汇入、异地汇入、跨行汇入的时间要求。</w:t>
            </w:r>
          </w:p>
          <w:p w14:paraId="19836500">
            <w:pPr>
              <w:widowControl/>
              <w:wordWrap w:val="0"/>
              <w:topLinePunct/>
              <w:snapToGrid w:val="0"/>
              <w:spacing w:line="400" w:lineRule="exact"/>
              <w:ind w:firstLine="422" w:firstLineChars="200"/>
              <w:rPr>
                <w:rFonts w:hint="eastAsia" w:ascii="宋体" w:hAnsi="宋体" w:cs="宋体"/>
                <w:b/>
                <w:bCs/>
                <w:kern w:val="0"/>
                <w:szCs w:val="21"/>
              </w:rPr>
            </w:pPr>
            <w:r>
              <w:rPr>
                <w:rFonts w:hint="eastAsia" w:ascii="宋体" w:hAnsi="宋体" w:cs="宋体"/>
                <w:b/>
                <w:bCs/>
                <w:kern w:val="0"/>
                <w:szCs w:val="21"/>
              </w:rPr>
              <w:t>2.以转账支票或电汇形式提交比选保证金的金额（人民币）：</w:t>
            </w:r>
          </w:p>
          <w:p w14:paraId="60C67F86">
            <w:pPr>
              <w:widowControl/>
              <w:wordWrap w:val="0"/>
              <w:topLinePunct/>
              <w:snapToGrid w:val="0"/>
              <w:spacing w:line="400" w:lineRule="exact"/>
              <w:rPr>
                <w:rFonts w:hint="eastAsia" w:ascii="宋体" w:hAnsi="宋体" w:cs="宋体"/>
                <w:b/>
                <w:bCs/>
                <w:kern w:val="0"/>
                <w:szCs w:val="21"/>
                <w:u w:val="single"/>
              </w:rPr>
            </w:pPr>
            <w:r>
              <w:rPr>
                <w:rFonts w:hint="eastAsia" w:ascii="宋体" w:hAnsi="宋体" w:cs="宋体"/>
                <w:b/>
                <w:bCs/>
                <w:kern w:val="0"/>
                <w:szCs w:val="21"/>
              </w:rPr>
              <w:t>¥</w:t>
            </w:r>
            <w:r>
              <w:rPr>
                <w:rFonts w:hint="eastAsia" w:ascii="宋体" w:hAnsi="宋体" w:cs="宋体"/>
                <w:b/>
                <w:bCs/>
                <w:kern w:val="0"/>
                <w:szCs w:val="21"/>
                <w:u w:val="single"/>
              </w:rPr>
              <w:t xml:space="preserve"> 2 </w:t>
            </w:r>
            <w:r>
              <w:rPr>
                <w:rFonts w:hint="eastAsia" w:ascii="宋体" w:hAnsi="宋体" w:cs="宋体"/>
                <w:b/>
                <w:bCs/>
                <w:kern w:val="0"/>
                <w:szCs w:val="21"/>
              </w:rPr>
              <w:t>万元。</w:t>
            </w:r>
          </w:p>
          <w:p w14:paraId="3A171F4E">
            <w:pPr>
              <w:widowControl/>
              <w:wordWrap w:val="0"/>
              <w:topLinePunct/>
              <w:snapToGrid w:val="0"/>
              <w:spacing w:line="400" w:lineRule="exact"/>
              <w:ind w:firstLine="422" w:firstLineChars="200"/>
              <w:rPr>
                <w:rFonts w:hint="eastAsia" w:ascii="宋体" w:hAnsi="宋体" w:cs="宋体"/>
                <w:b/>
                <w:bCs/>
                <w:kern w:val="0"/>
                <w:szCs w:val="21"/>
              </w:rPr>
            </w:pPr>
            <w:r>
              <w:rPr>
                <w:rFonts w:hint="eastAsia" w:ascii="宋体" w:hAnsi="宋体" w:cs="宋体"/>
                <w:b/>
                <w:bCs/>
                <w:kern w:val="0"/>
                <w:szCs w:val="21"/>
              </w:rPr>
              <w:t>3.比选保证金账户及账号：</w:t>
            </w:r>
          </w:p>
          <w:p w14:paraId="2418D532">
            <w:pPr>
              <w:widowControl/>
              <w:wordWrap w:val="0"/>
              <w:topLinePunct/>
              <w:snapToGrid w:val="0"/>
              <w:spacing w:line="400" w:lineRule="exact"/>
              <w:ind w:firstLine="422" w:firstLineChars="200"/>
              <w:rPr>
                <w:rFonts w:hint="eastAsia" w:ascii="宋体" w:hAnsi="宋体" w:cs="宋体"/>
                <w:b/>
                <w:bCs/>
                <w:kern w:val="0"/>
                <w:szCs w:val="21"/>
              </w:rPr>
            </w:pPr>
            <w:r>
              <w:rPr>
                <w:rFonts w:hint="eastAsia" w:ascii="宋体" w:hAnsi="宋体" w:cs="宋体"/>
                <w:b/>
                <w:bCs/>
                <w:kern w:val="0"/>
                <w:szCs w:val="21"/>
              </w:rPr>
              <w:t>银行账户：</w:t>
            </w:r>
            <w:r>
              <w:rPr>
                <w:rFonts w:hint="eastAsia" w:ascii="宋体" w:hAnsi="宋体" w:cs="宋体"/>
                <w:b/>
                <w:bCs/>
                <w:kern w:val="0"/>
                <w:szCs w:val="21"/>
                <w:u w:val="single"/>
              </w:rPr>
              <w:t>中资国际工程咨询集团有限责任公司重庆分公司</w:t>
            </w:r>
          </w:p>
          <w:p w14:paraId="67B79B2E">
            <w:pPr>
              <w:widowControl/>
              <w:wordWrap w:val="0"/>
              <w:topLinePunct/>
              <w:snapToGrid w:val="0"/>
              <w:spacing w:line="400" w:lineRule="exact"/>
              <w:ind w:firstLine="422" w:firstLineChars="200"/>
              <w:rPr>
                <w:rFonts w:hint="eastAsia" w:ascii="宋体" w:hAnsi="宋体" w:cs="宋体"/>
                <w:b/>
                <w:bCs/>
                <w:kern w:val="0"/>
                <w:szCs w:val="21"/>
                <w:u w:val="single"/>
              </w:rPr>
            </w:pPr>
            <w:r>
              <w:rPr>
                <w:rFonts w:hint="eastAsia" w:ascii="宋体" w:hAnsi="宋体" w:cs="宋体"/>
                <w:b/>
                <w:bCs/>
                <w:kern w:val="0"/>
                <w:szCs w:val="21"/>
              </w:rPr>
              <w:t>银行账号：</w:t>
            </w:r>
            <w:r>
              <w:rPr>
                <w:rFonts w:hint="eastAsia" w:ascii="宋体" w:hAnsi="宋体" w:cs="宋体"/>
                <w:b/>
                <w:bCs/>
                <w:kern w:val="0"/>
                <w:szCs w:val="21"/>
                <w:u w:val="single"/>
              </w:rPr>
              <w:t>1102 5399 9076</w:t>
            </w:r>
          </w:p>
          <w:p w14:paraId="09C92083">
            <w:pPr>
              <w:widowControl/>
              <w:wordWrap w:val="0"/>
              <w:topLinePunct/>
              <w:snapToGrid w:val="0"/>
              <w:spacing w:line="400" w:lineRule="exact"/>
              <w:ind w:firstLine="422" w:firstLineChars="200"/>
              <w:rPr>
                <w:rFonts w:hint="eastAsia" w:ascii="宋体" w:hAnsi="宋体" w:cs="宋体"/>
                <w:kern w:val="0"/>
                <w:szCs w:val="21"/>
              </w:rPr>
            </w:pPr>
            <w:r>
              <w:rPr>
                <w:rFonts w:hint="eastAsia" w:ascii="宋体" w:hAnsi="宋体" w:cs="宋体"/>
                <w:b/>
                <w:bCs/>
                <w:kern w:val="0"/>
                <w:szCs w:val="21"/>
              </w:rPr>
              <w:t>开户银行：</w:t>
            </w:r>
            <w:r>
              <w:rPr>
                <w:rFonts w:hint="eastAsia" w:ascii="宋体" w:hAnsi="宋体" w:cs="宋体"/>
                <w:b/>
                <w:bCs/>
                <w:kern w:val="0"/>
                <w:szCs w:val="21"/>
                <w:u w:val="single"/>
              </w:rPr>
              <w:t>中国银行股份有限公司重庆爱都会支行</w:t>
            </w:r>
          </w:p>
          <w:p w14:paraId="03F0EB2E">
            <w:pPr>
              <w:widowControl/>
              <w:wordWrap w:val="0"/>
              <w:topLinePunct/>
              <w:snapToGrid w:val="0"/>
              <w:spacing w:line="400" w:lineRule="exact"/>
              <w:ind w:firstLine="420" w:firstLineChars="200"/>
              <w:rPr>
                <w:rFonts w:hint="eastAsia" w:ascii="宋体" w:hAnsi="宋体" w:cs="宋体"/>
                <w:b/>
                <w:bCs/>
                <w:kern w:val="0"/>
                <w:szCs w:val="21"/>
              </w:rPr>
            </w:pPr>
            <w:r>
              <w:rPr>
                <w:rFonts w:hint="eastAsia" w:ascii="宋体" w:hAnsi="宋体" w:cs="宋体"/>
                <w:kern w:val="0"/>
                <w:szCs w:val="21"/>
              </w:rPr>
              <w:t>4.比选供应商必须在付款凭证备注栏中注明是“</w:t>
            </w:r>
            <w:r>
              <w:rPr>
                <w:rFonts w:hint="eastAsia" w:ascii="宋体" w:hAnsi="宋体" w:cs="宋体"/>
                <w:kern w:val="0"/>
                <w:szCs w:val="21"/>
                <w:u w:val="single"/>
              </w:rPr>
              <w:t xml:space="preserve"> （项目名称）   </w:t>
            </w:r>
            <w:r>
              <w:rPr>
                <w:rFonts w:hint="eastAsia" w:ascii="宋体" w:hAnsi="宋体" w:cs="宋体"/>
                <w:kern w:val="0"/>
                <w:szCs w:val="21"/>
              </w:rPr>
              <w:t>比选保证金”。</w:t>
            </w:r>
            <w:r>
              <w:rPr>
                <w:rFonts w:hint="eastAsia" w:ascii="宋体" w:hAnsi="宋体" w:cs="宋体"/>
                <w:b/>
                <w:bCs/>
                <w:szCs w:val="21"/>
              </w:rPr>
              <w:t>无论比选供应商是否在</w:t>
            </w:r>
            <w:r>
              <w:rPr>
                <w:rFonts w:hint="eastAsia" w:ascii="宋体" w:hAnsi="宋体" w:cs="宋体"/>
                <w:b/>
                <w:bCs/>
                <w:kern w:val="0"/>
                <w:szCs w:val="21"/>
              </w:rPr>
              <w:t>付款凭证备注栏中注明项目</w:t>
            </w:r>
            <w:r>
              <w:rPr>
                <w:rFonts w:hint="eastAsia" w:ascii="宋体" w:hAnsi="宋体" w:cs="宋体"/>
                <w:b/>
                <w:bCs/>
                <w:szCs w:val="21"/>
              </w:rPr>
              <w:t>名称，均不作为否决的依据。</w:t>
            </w:r>
          </w:p>
          <w:p w14:paraId="4C7AEFEB">
            <w:pPr>
              <w:widowControl/>
              <w:wordWrap w:val="0"/>
              <w:topLinePunct/>
              <w:snapToGrid w:val="0"/>
              <w:spacing w:line="400" w:lineRule="exact"/>
              <w:ind w:firstLine="420" w:firstLineChars="200"/>
              <w:rPr>
                <w:rFonts w:hint="eastAsia" w:ascii="宋体" w:hAnsi="宋体" w:cs="MingLiU"/>
                <w:b/>
                <w:bCs/>
                <w:szCs w:val="21"/>
              </w:rPr>
            </w:pPr>
            <w:r>
              <w:rPr>
                <w:rFonts w:hint="eastAsia" w:ascii="宋体" w:hAnsi="宋体" w:cs="宋体"/>
                <w:kern w:val="0"/>
                <w:szCs w:val="21"/>
              </w:rPr>
              <w:t>5.比选保证金有效期与比选有效期一致。</w:t>
            </w:r>
          </w:p>
        </w:tc>
      </w:tr>
      <w:tr w14:paraId="3C9AB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2" w:type="dxa"/>
            <w:vAlign w:val="center"/>
          </w:tcPr>
          <w:p w14:paraId="3F00F22B">
            <w:pPr>
              <w:adjustRightInd w:val="0"/>
              <w:snapToGrid w:val="0"/>
              <w:spacing w:line="400" w:lineRule="exact"/>
              <w:jc w:val="center"/>
              <w:rPr>
                <w:rFonts w:hint="eastAsia" w:ascii="宋体" w:hAnsi="宋体" w:cs="宋体"/>
                <w:szCs w:val="21"/>
              </w:rPr>
            </w:pPr>
            <w:r>
              <w:rPr>
                <w:rFonts w:hint="eastAsia" w:ascii="宋体" w:hAnsi="宋体" w:cs="宋体"/>
                <w:szCs w:val="21"/>
              </w:rPr>
              <w:t>C.13</w:t>
            </w:r>
          </w:p>
        </w:tc>
        <w:tc>
          <w:tcPr>
            <w:tcW w:w="1417" w:type="dxa"/>
            <w:vAlign w:val="center"/>
          </w:tcPr>
          <w:p w14:paraId="22572BDF">
            <w:pPr>
              <w:adjustRightInd w:val="0"/>
              <w:snapToGrid w:val="0"/>
              <w:spacing w:line="400" w:lineRule="exact"/>
              <w:jc w:val="center"/>
              <w:rPr>
                <w:rFonts w:hint="eastAsia" w:ascii="宋体" w:hAnsi="宋体" w:cs="宋体"/>
                <w:szCs w:val="21"/>
              </w:rPr>
            </w:pPr>
            <w:r>
              <w:rPr>
                <w:rFonts w:hint="eastAsia" w:ascii="宋体" w:hAnsi="宋体" w:cs="宋体"/>
                <w:kern w:val="0"/>
                <w:szCs w:val="21"/>
              </w:rPr>
              <w:t>响应</w:t>
            </w:r>
            <w:r>
              <w:rPr>
                <w:rFonts w:hint="eastAsia" w:ascii="宋体" w:hAnsi="宋体" w:cs="宋体"/>
                <w:szCs w:val="21"/>
              </w:rPr>
              <w:t>文件有效期(</w:t>
            </w:r>
            <w:r>
              <w:rPr>
                <w:rFonts w:hint="eastAsia" w:ascii="宋体" w:hAnsi="宋体" w:cs="宋体"/>
                <w:kern w:val="0"/>
                <w:szCs w:val="21"/>
              </w:rPr>
              <w:t>比选</w:t>
            </w:r>
            <w:r>
              <w:rPr>
                <w:rFonts w:hint="eastAsia" w:ascii="宋体" w:hAnsi="宋体" w:cs="宋体"/>
                <w:kern w:val="0"/>
              </w:rPr>
              <w:t>有效期)</w:t>
            </w:r>
          </w:p>
        </w:tc>
        <w:tc>
          <w:tcPr>
            <w:tcW w:w="6804" w:type="dxa"/>
            <w:vAlign w:val="center"/>
          </w:tcPr>
          <w:p w14:paraId="053AD219">
            <w:pPr>
              <w:adjustRightInd w:val="0"/>
              <w:snapToGrid w:val="0"/>
              <w:spacing w:line="400" w:lineRule="exact"/>
              <w:ind w:firstLine="420" w:firstLineChars="200"/>
              <w:rPr>
                <w:rFonts w:hint="eastAsia" w:ascii="宋体" w:hAnsi="宋体" w:cs="宋体"/>
                <w:szCs w:val="21"/>
              </w:rPr>
            </w:pPr>
            <w:r>
              <w:rPr>
                <w:rFonts w:hint="eastAsia" w:ascii="宋体" w:hAnsi="宋体" w:cs="宋体"/>
                <w:kern w:val="0"/>
                <w:szCs w:val="21"/>
              </w:rPr>
              <w:t>90日历天（从提交响应文件截止日起计算）。</w:t>
            </w:r>
          </w:p>
        </w:tc>
      </w:tr>
      <w:tr w14:paraId="4D920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2" w:type="dxa"/>
            <w:vAlign w:val="center"/>
          </w:tcPr>
          <w:p w14:paraId="15BF5CF4">
            <w:pPr>
              <w:adjustRightInd w:val="0"/>
              <w:snapToGrid w:val="0"/>
              <w:spacing w:line="400" w:lineRule="exact"/>
              <w:jc w:val="center"/>
              <w:rPr>
                <w:rFonts w:hint="eastAsia" w:ascii="宋体" w:hAnsi="宋体" w:cs="宋体"/>
                <w:szCs w:val="21"/>
              </w:rPr>
            </w:pPr>
            <w:r>
              <w:rPr>
                <w:rFonts w:hint="eastAsia" w:ascii="宋体" w:hAnsi="宋体" w:cs="宋体"/>
                <w:szCs w:val="21"/>
              </w:rPr>
              <w:t>C.14.3</w:t>
            </w:r>
          </w:p>
        </w:tc>
        <w:tc>
          <w:tcPr>
            <w:tcW w:w="1417" w:type="dxa"/>
            <w:vAlign w:val="center"/>
          </w:tcPr>
          <w:p w14:paraId="695DBECD">
            <w:pPr>
              <w:adjustRightInd w:val="0"/>
              <w:snapToGrid w:val="0"/>
              <w:spacing w:line="400" w:lineRule="exact"/>
              <w:jc w:val="center"/>
              <w:rPr>
                <w:rFonts w:hint="eastAsia" w:ascii="宋体" w:hAnsi="宋体" w:cs="宋体"/>
                <w:szCs w:val="21"/>
              </w:rPr>
            </w:pPr>
            <w:r>
              <w:rPr>
                <w:rFonts w:hint="eastAsia" w:ascii="宋体" w:hAnsi="宋体" w:cs="宋体"/>
                <w:szCs w:val="21"/>
              </w:rPr>
              <w:t>响应文件的</w:t>
            </w:r>
          </w:p>
          <w:p w14:paraId="4C6DA739">
            <w:pPr>
              <w:adjustRightInd w:val="0"/>
              <w:snapToGrid w:val="0"/>
              <w:spacing w:line="400" w:lineRule="exact"/>
              <w:jc w:val="center"/>
              <w:rPr>
                <w:rFonts w:hint="eastAsia" w:ascii="宋体" w:hAnsi="宋体" w:cs="宋体"/>
                <w:szCs w:val="21"/>
              </w:rPr>
            </w:pPr>
            <w:r>
              <w:rPr>
                <w:rFonts w:hint="eastAsia" w:ascii="宋体" w:hAnsi="宋体" w:cs="宋体"/>
                <w:szCs w:val="21"/>
              </w:rPr>
              <w:t>份数</w:t>
            </w:r>
          </w:p>
        </w:tc>
        <w:tc>
          <w:tcPr>
            <w:tcW w:w="6804" w:type="dxa"/>
            <w:vAlign w:val="center"/>
          </w:tcPr>
          <w:p w14:paraId="25B50D00">
            <w:pPr>
              <w:spacing w:line="400" w:lineRule="exact"/>
              <w:ind w:firstLine="420" w:firstLineChars="200"/>
              <w:rPr>
                <w:rFonts w:hint="eastAsia" w:ascii="宋体" w:hAnsi="宋体"/>
                <w:kern w:val="0"/>
                <w:szCs w:val="21"/>
              </w:rPr>
            </w:pPr>
            <w:r>
              <w:rPr>
                <w:rFonts w:hint="eastAsia" w:ascii="宋体" w:hAnsi="宋体" w:cs="宋体"/>
                <w:kern w:val="0"/>
                <w:szCs w:val="21"/>
              </w:rPr>
              <w:t>响应</w:t>
            </w:r>
            <w:r>
              <w:rPr>
                <w:rFonts w:hint="eastAsia" w:ascii="宋体" w:hAnsi="宋体"/>
                <w:kern w:val="0"/>
                <w:szCs w:val="21"/>
              </w:rPr>
              <w:t>文件正本份数：【1】</w:t>
            </w:r>
            <w:r>
              <w:rPr>
                <w:rFonts w:ascii="宋体" w:hAnsi="宋体"/>
                <w:kern w:val="0"/>
                <w:szCs w:val="21"/>
              </w:rPr>
              <w:t>份；</w:t>
            </w:r>
          </w:p>
          <w:p w14:paraId="2DC083EE">
            <w:pPr>
              <w:spacing w:line="400" w:lineRule="exact"/>
              <w:ind w:firstLine="420" w:firstLineChars="200"/>
              <w:rPr>
                <w:rFonts w:hint="eastAsia" w:ascii="宋体" w:hAnsi="宋体" w:eastAsia="宋体" w:cs="宋体"/>
                <w:szCs w:val="21"/>
                <w:lang w:eastAsia="zh-CN"/>
              </w:rPr>
            </w:pPr>
            <w:r>
              <w:rPr>
                <w:rFonts w:hint="eastAsia" w:ascii="宋体" w:hAnsi="宋体" w:cs="宋体"/>
                <w:kern w:val="0"/>
                <w:szCs w:val="21"/>
              </w:rPr>
              <w:t>响应</w:t>
            </w:r>
            <w:r>
              <w:rPr>
                <w:rFonts w:hint="eastAsia" w:ascii="宋体" w:hAnsi="宋体"/>
                <w:kern w:val="0"/>
                <w:szCs w:val="21"/>
              </w:rPr>
              <w:t>文件副本份数：【1】份</w:t>
            </w:r>
            <w:r>
              <w:rPr>
                <w:rFonts w:hint="eastAsia" w:ascii="宋体" w:hAnsi="宋体" w:cs="宋体"/>
                <w:szCs w:val="21"/>
                <w:lang w:eastAsia="zh-CN"/>
              </w:rPr>
              <w:t>；</w:t>
            </w:r>
          </w:p>
          <w:p w14:paraId="16030579">
            <w:pPr>
              <w:spacing w:line="400" w:lineRule="exact"/>
              <w:ind w:firstLine="420" w:firstLineChars="200"/>
              <w:rPr>
                <w:rFonts w:hint="eastAsia" w:ascii="宋体" w:hAnsi="宋体" w:cs="宋体"/>
                <w:szCs w:val="21"/>
              </w:rPr>
            </w:pPr>
            <w:r>
              <w:rPr>
                <w:rFonts w:hint="eastAsia" w:ascii="宋体" w:hAnsi="宋体" w:cs="宋体"/>
                <w:szCs w:val="21"/>
                <w:lang w:val="en-US" w:eastAsia="zh-CN"/>
              </w:rPr>
              <w:t>电子文件（U盘）</w:t>
            </w:r>
            <w:r>
              <w:rPr>
                <w:rFonts w:hint="eastAsia" w:ascii="宋体" w:hAnsi="宋体"/>
                <w:kern w:val="0"/>
                <w:szCs w:val="21"/>
              </w:rPr>
              <w:t>份数</w:t>
            </w:r>
            <w:r>
              <w:rPr>
                <w:rFonts w:hint="eastAsia" w:ascii="宋体" w:hAnsi="宋体" w:cs="宋体"/>
                <w:szCs w:val="21"/>
                <w:lang w:val="en-US" w:eastAsia="zh-CN"/>
              </w:rPr>
              <w:t>：</w:t>
            </w:r>
            <w:r>
              <w:rPr>
                <w:rFonts w:hint="eastAsia" w:ascii="宋体" w:hAnsi="宋体"/>
                <w:kern w:val="0"/>
                <w:szCs w:val="21"/>
              </w:rPr>
              <w:t>【1】份</w:t>
            </w:r>
            <w:r>
              <w:rPr>
                <w:rFonts w:hint="eastAsia" w:ascii="宋体" w:hAnsi="宋体" w:cs="宋体"/>
                <w:szCs w:val="21"/>
              </w:rPr>
              <w:t>。</w:t>
            </w:r>
          </w:p>
        </w:tc>
      </w:tr>
      <w:tr w14:paraId="388AB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333" w:type="dxa"/>
            <w:gridSpan w:val="3"/>
            <w:vAlign w:val="center"/>
          </w:tcPr>
          <w:p w14:paraId="771D4270">
            <w:pPr>
              <w:adjustRightInd w:val="0"/>
              <w:snapToGrid w:val="0"/>
              <w:spacing w:line="400" w:lineRule="exact"/>
              <w:jc w:val="center"/>
              <w:rPr>
                <w:rFonts w:hint="eastAsia" w:ascii="宋体" w:hAnsi="宋体" w:cs="宋体"/>
                <w:b/>
                <w:szCs w:val="21"/>
              </w:rPr>
            </w:pPr>
            <w:r>
              <w:rPr>
                <w:rFonts w:hint="eastAsia" w:ascii="宋体" w:hAnsi="宋体" w:cs="宋体"/>
                <w:b/>
                <w:szCs w:val="21"/>
              </w:rPr>
              <w:t>D 投 标 文 件 的 递 交</w:t>
            </w:r>
          </w:p>
        </w:tc>
      </w:tr>
      <w:tr w14:paraId="60A53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jc w:val="center"/>
        </w:trPr>
        <w:tc>
          <w:tcPr>
            <w:tcW w:w="1112" w:type="dxa"/>
            <w:vAlign w:val="center"/>
          </w:tcPr>
          <w:p w14:paraId="3CF946DF">
            <w:pPr>
              <w:adjustRightInd w:val="0"/>
              <w:snapToGrid w:val="0"/>
              <w:spacing w:line="400" w:lineRule="exact"/>
              <w:jc w:val="center"/>
              <w:rPr>
                <w:rFonts w:hint="eastAsia" w:ascii="宋体" w:hAnsi="宋体" w:cs="宋体"/>
                <w:szCs w:val="21"/>
              </w:rPr>
            </w:pPr>
            <w:r>
              <w:rPr>
                <w:rFonts w:hint="eastAsia" w:ascii="宋体" w:hAnsi="宋体" w:cs="宋体"/>
                <w:szCs w:val="21"/>
              </w:rPr>
              <w:t>D</w:t>
            </w:r>
            <w:r>
              <w:rPr>
                <w:rFonts w:ascii="宋体" w:hAnsi="宋体" w:cs="宋体"/>
                <w:szCs w:val="21"/>
              </w:rPr>
              <w:t>.</w:t>
            </w:r>
            <w:r>
              <w:rPr>
                <w:rFonts w:hint="eastAsia" w:ascii="宋体" w:hAnsi="宋体" w:cs="宋体"/>
                <w:szCs w:val="21"/>
              </w:rPr>
              <w:t>15.1</w:t>
            </w:r>
          </w:p>
        </w:tc>
        <w:tc>
          <w:tcPr>
            <w:tcW w:w="1417" w:type="dxa"/>
            <w:vAlign w:val="center"/>
          </w:tcPr>
          <w:p w14:paraId="4220A789">
            <w:pPr>
              <w:adjustRightInd w:val="0"/>
              <w:snapToGrid w:val="0"/>
              <w:spacing w:line="400" w:lineRule="exact"/>
              <w:jc w:val="center"/>
              <w:rPr>
                <w:rFonts w:hint="eastAsia" w:ascii="宋体" w:hAnsi="宋体" w:cs="宋体"/>
                <w:szCs w:val="21"/>
              </w:rPr>
            </w:pPr>
            <w:r>
              <w:rPr>
                <w:rFonts w:hint="eastAsia" w:ascii="宋体" w:hAnsi="宋体" w:cs="宋体"/>
                <w:kern w:val="0"/>
                <w:szCs w:val="21"/>
              </w:rPr>
              <w:t>响应</w:t>
            </w:r>
            <w:r>
              <w:rPr>
                <w:rFonts w:hint="eastAsia" w:ascii="宋体" w:hAnsi="宋体" w:cs="宋体"/>
                <w:szCs w:val="21"/>
              </w:rPr>
              <w:t>文件的装订、密封及标记</w:t>
            </w:r>
          </w:p>
        </w:tc>
        <w:tc>
          <w:tcPr>
            <w:tcW w:w="6804" w:type="dxa"/>
            <w:vAlign w:val="center"/>
          </w:tcPr>
          <w:p w14:paraId="79C81A64">
            <w:pPr>
              <w:adjustRightInd w:val="0"/>
              <w:snapToGrid w:val="0"/>
              <w:spacing w:line="400" w:lineRule="exact"/>
              <w:ind w:firstLine="439" w:firstLineChars="208"/>
              <w:rPr>
                <w:rFonts w:hint="eastAsia" w:ascii="宋体" w:hAnsi="宋体" w:cs="宋体"/>
                <w:b/>
                <w:bCs/>
                <w:kern w:val="0"/>
                <w:szCs w:val="21"/>
              </w:rPr>
            </w:pPr>
            <w:r>
              <w:rPr>
                <w:rFonts w:hint="eastAsia" w:ascii="宋体" w:hAnsi="宋体" w:cs="宋体"/>
                <w:b/>
                <w:bCs/>
                <w:kern w:val="0"/>
                <w:szCs w:val="21"/>
              </w:rPr>
              <w:t>一、响应文件的装订</w:t>
            </w:r>
          </w:p>
          <w:p w14:paraId="0CA9768D">
            <w:pPr>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1、</w:t>
            </w:r>
            <w:r>
              <w:rPr>
                <w:rFonts w:hint="eastAsia" w:ascii="宋体" w:hAnsi="宋体" w:cs="宋体"/>
                <w:kern w:val="0"/>
                <w:szCs w:val="21"/>
              </w:rPr>
              <w:t>响应</w:t>
            </w:r>
            <w:r>
              <w:rPr>
                <w:rFonts w:hint="eastAsia" w:ascii="宋体" w:hAnsi="宋体" w:cs="宋体"/>
                <w:szCs w:val="21"/>
              </w:rPr>
              <w:t>文件须装订成册（可分册装订），并编制目录、逐页标注页码(页码不作为评审因素)。</w:t>
            </w:r>
          </w:p>
          <w:p w14:paraId="5C35BB64">
            <w:pPr>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2、</w:t>
            </w:r>
            <w:r>
              <w:rPr>
                <w:rFonts w:hint="eastAsia" w:ascii="宋体" w:hAnsi="宋体" w:cs="宋体"/>
                <w:kern w:val="0"/>
                <w:szCs w:val="21"/>
              </w:rPr>
              <w:t>响应</w:t>
            </w:r>
            <w:r>
              <w:rPr>
                <w:rFonts w:hint="eastAsia" w:ascii="宋体" w:hAnsi="宋体" w:cs="宋体"/>
                <w:szCs w:val="21"/>
              </w:rPr>
              <w:t>文件正本文件内签字和盖章须为手写或鲜章，副本可为正本的复印件。</w:t>
            </w:r>
          </w:p>
          <w:p w14:paraId="1462BFB3">
            <w:pPr>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3、</w:t>
            </w:r>
            <w:r>
              <w:rPr>
                <w:rFonts w:hint="eastAsia" w:ascii="宋体" w:hAnsi="宋体" w:cs="宋体"/>
                <w:kern w:val="0"/>
                <w:szCs w:val="21"/>
              </w:rPr>
              <w:t>比选</w:t>
            </w:r>
            <w:r>
              <w:rPr>
                <w:rFonts w:hint="eastAsia" w:ascii="宋体" w:hAnsi="宋体" w:cs="宋体"/>
                <w:szCs w:val="21"/>
              </w:rPr>
              <w:t>文件中已提供了响应文件格式的部分，须按其格式填写和提供，编制响应文件时不得对第六章“响应文件格式”的相应要素作实质性修改，否则由评审委员会作否决处理。</w:t>
            </w:r>
          </w:p>
          <w:p w14:paraId="2B60FDBC">
            <w:pPr>
              <w:adjustRightInd w:val="0"/>
              <w:snapToGrid w:val="0"/>
              <w:spacing w:line="400" w:lineRule="exact"/>
              <w:ind w:firstLine="439" w:firstLineChars="208"/>
              <w:rPr>
                <w:rFonts w:hint="eastAsia" w:ascii="宋体" w:hAnsi="宋体" w:cs="宋体"/>
                <w:b/>
                <w:bCs/>
                <w:kern w:val="0"/>
                <w:szCs w:val="21"/>
              </w:rPr>
            </w:pPr>
            <w:r>
              <w:rPr>
                <w:rFonts w:hint="eastAsia" w:ascii="宋体" w:hAnsi="宋体" w:cs="宋体"/>
                <w:b/>
                <w:bCs/>
                <w:kern w:val="0"/>
                <w:szCs w:val="21"/>
              </w:rPr>
              <w:t>二、响应文件的密封</w:t>
            </w:r>
          </w:p>
          <w:p w14:paraId="42F2E89E">
            <w:pPr>
              <w:adjustRightInd w:val="0"/>
              <w:snapToGrid w:val="0"/>
              <w:spacing w:line="400" w:lineRule="exact"/>
              <w:ind w:firstLine="436" w:firstLineChars="208"/>
              <w:rPr>
                <w:rFonts w:hint="eastAsia" w:ascii="宋体" w:hAnsi="宋体" w:cs="宋体"/>
                <w:kern w:val="0"/>
                <w:szCs w:val="21"/>
              </w:rPr>
            </w:pPr>
            <w:r>
              <w:rPr>
                <w:rFonts w:hint="eastAsia" w:ascii="宋体" w:hAnsi="宋体" w:cs="宋体"/>
                <w:kern w:val="0"/>
                <w:szCs w:val="21"/>
              </w:rPr>
              <w:t>1.响应文件需统一装入</w:t>
            </w:r>
            <w:r>
              <w:rPr>
                <w:rFonts w:hint="eastAsia" w:ascii="宋体" w:hAnsi="宋体" w:cs="宋体"/>
                <w:b/>
                <w:bCs/>
                <w:kern w:val="0"/>
                <w:szCs w:val="21"/>
              </w:rPr>
              <w:t>比选供应商</w:t>
            </w:r>
            <w:r>
              <w:rPr>
                <w:rFonts w:hint="eastAsia" w:ascii="宋体" w:hAnsi="宋体"/>
                <w:b/>
                <w:bCs/>
                <w:szCs w:val="21"/>
              </w:rPr>
              <w:t>自</w:t>
            </w:r>
            <w:r>
              <w:rPr>
                <w:rFonts w:hint="eastAsia" w:ascii="宋体" w:hAnsi="宋体"/>
                <w:b/>
                <w:szCs w:val="21"/>
              </w:rPr>
              <w:t>备的文件袋中</w:t>
            </w:r>
            <w:r>
              <w:rPr>
                <w:rFonts w:hint="eastAsia" w:ascii="宋体" w:hAnsi="宋体" w:cs="宋体"/>
                <w:kern w:val="0"/>
                <w:szCs w:val="21"/>
              </w:rPr>
              <w:t>，</w:t>
            </w:r>
            <w:r>
              <w:rPr>
                <w:rFonts w:hint="eastAsia" w:ascii="宋体" w:hAnsi="宋体"/>
                <w:szCs w:val="21"/>
              </w:rPr>
              <w:t>密封后在封面按本表第</w:t>
            </w:r>
            <w:r>
              <w:rPr>
                <w:rFonts w:ascii="宋体" w:hAnsi="宋体"/>
                <w:szCs w:val="21"/>
              </w:rPr>
              <w:t>D.1</w:t>
            </w:r>
            <w:r>
              <w:rPr>
                <w:rFonts w:hint="eastAsia" w:ascii="宋体" w:hAnsi="宋体"/>
                <w:szCs w:val="21"/>
              </w:rPr>
              <w:t>5.1项的“三、</w:t>
            </w:r>
            <w:r>
              <w:rPr>
                <w:rFonts w:hint="eastAsia" w:ascii="宋体" w:hAnsi="宋体" w:cs="宋体"/>
                <w:kern w:val="0"/>
                <w:szCs w:val="21"/>
              </w:rPr>
              <w:t>响应</w:t>
            </w:r>
            <w:r>
              <w:rPr>
                <w:rFonts w:hint="eastAsia" w:ascii="宋体" w:hAnsi="宋体"/>
                <w:szCs w:val="21"/>
              </w:rPr>
              <w:t>文件的标记”规定写明相应内容，并加盖单位公章。</w:t>
            </w:r>
          </w:p>
          <w:p w14:paraId="7BD2CEA2">
            <w:pPr>
              <w:adjustRightInd w:val="0"/>
              <w:snapToGrid w:val="0"/>
              <w:spacing w:line="400" w:lineRule="exact"/>
              <w:ind w:firstLine="436" w:firstLineChars="208"/>
              <w:rPr>
                <w:rFonts w:hint="eastAsia" w:ascii="宋体" w:hAnsi="宋体" w:cs="宋体"/>
                <w:kern w:val="0"/>
                <w:szCs w:val="21"/>
              </w:rPr>
            </w:pPr>
            <w:r>
              <w:rPr>
                <w:rFonts w:hint="eastAsia" w:ascii="宋体" w:hAnsi="宋体" w:cs="宋体"/>
                <w:kern w:val="0"/>
                <w:szCs w:val="21"/>
              </w:rPr>
              <w:t>2.如因资料较多，无法装入一袋的，可以装成两袋或更多，但必须同时符合上述密封要求。</w:t>
            </w:r>
          </w:p>
          <w:p w14:paraId="614E29DD">
            <w:pPr>
              <w:adjustRightInd w:val="0"/>
              <w:snapToGrid w:val="0"/>
              <w:spacing w:line="400" w:lineRule="exact"/>
              <w:ind w:firstLine="436" w:firstLineChars="208"/>
              <w:rPr>
                <w:rFonts w:hint="eastAsia" w:ascii="宋体" w:hAnsi="宋体" w:cs="宋体"/>
                <w:b/>
                <w:bCs/>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未按要求密封的响应文件将被拒收。</w:t>
            </w:r>
          </w:p>
          <w:p w14:paraId="0EA8FDCC">
            <w:pPr>
              <w:adjustRightInd w:val="0"/>
              <w:snapToGrid w:val="0"/>
              <w:spacing w:line="400" w:lineRule="exact"/>
              <w:ind w:firstLine="439" w:firstLineChars="208"/>
              <w:rPr>
                <w:rFonts w:hint="eastAsia" w:ascii="宋体" w:hAnsi="宋体" w:cs="宋体"/>
                <w:b/>
                <w:bCs/>
                <w:kern w:val="0"/>
                <w:szCs w:val="21"/>
              </w:rPr>
            </w:pPr>
            <w:r>
              <w:rPr>
                <w:rFonts w:hint="eastAsia" w:ascii="宋体" w:hAnsi="宋体" w:cs="宋体"/>
                <w:b/>
                <w:bCs/>
                <w:kern w:val="0"/>
                <w:szCs w:val="21"/>
              </w:rPr>
              <w:t>三、响应文件的标记</w:t>
            </w:r>
          </w:p>
          <w:p w14:paraId="041D2DEA">
            <w:pPr>
              <w:adjustRightInd w:val="0"/>
              <w:snapToGrid w:val="0"/>
              <w:spacing w:line="400" w:lineRule="exact"/>
              <w:ind w:firstLine="436" w:firstLineChars="208"/>
              <w:rPr>
                <w:rFonts w:hint="eastAsia" w:ascii="宋体" w:hAnsi="宋体" w:cs="宋体"/>
                <w:kern w:val="0"/>
                <w:szCs w:val="21"/>
              </w:rPr>
            </w:pPr>
            <w:r>
              <w:rPr>
                <w:rFonts w:hint="eastAsia" w:ascii="宋体" w:hAnsi="宋体" w:cs="宋体"/>
                <w:kern w:val="0"/>
                <w:szCs w:val="21"/>
              </w:rPr>
              <w:t>应在 “响应文件”大袋写明以下内容：</w:t>
            </w:r>
          </w:p>
          <w:tbl>
            <w:tblPr>
              <w:tblStyle w:val="75"/>
              <w:tblpPr w:leftFromText="180" w:rightFromText="180" w:vertAnchor="text" w:horzAnchor="margin" w:tblpY="59"/>
              <w:tblOverlap w:val="never"/>
              <w:tblW w:w="61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2"/>
            </w:tblGrid>
            <w:tr w14:paraId="4EF4C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6142" w:type="dxa"/>
                </w:tcPr>
                <w:p w14:paraId="6E772353">
                  <w:pPr>
                    <w:wordWrap w:val="0"/>
                    <w:topLinePunct/>
                    <w:adjustRightInd w:val="0"/>
                    <w:snapToGrid w:val="0"/>
                    <w:spacing w:line="400" w:lineRule="exact"/>
                    <w:ind w:firstLine="436" w:firstLineChars="208"/>
                    <w:rPr>
                      <w:rFonts w:hint="eastAsia" w:ascii="宋体" w:hAnsi="宋体" w:cs="宋体"/>
                      <w:kern w:val="0"/>
                      <w:szCs w:val="21"/>
                    </w:rPr>
                  </w:pPr>
                  <w:r>
                    <w:rPr>
                      <w:rFonts w:hint="eastAsia" w:ascii="宋体" w:hAnsi="宋体" w:cs="宋体"/>
                      <w:kern w:val="0"/>
                      <w:szCs w:val="21"/>
                    </w:rPr>
                    <w:t>比选人名称：</w:t>
                  </w:r>
                  <w:r>
                    <w:rPr>
                      <w:rFonts w:hint="eastAsia" w:ascii="宋体" w:hAnsi="宋体" w:cs="宋体"/>
                      <w:kern w:val="0"/>
                      <w:szCs w:val="21"/>
                      <w:u w:val="single"/>
                    </w:rPr>
                    <w:t xml:space="preserve">                             </w:t>
                  </w:r>
                </w:p>
                <w:p w14:paraId="6B9325A1">
                  <w:pPr>
                    <w:wordWrap w:val="0"/>
                    <w:topLinePunct/>
                    <w:adjustRightInd w:val="0"/>
                    <w:snapToGrid w:val="0"/>
                    <w:spacing w:line="400" w:lineRule="exact"/>
                    <w:ind w:firstLine="436" w:firstLineChars="208"/>
                    <w:rPr>
                      <w:rFonts w:hint="eastAsia" w:ascii="宋体" w:hAnsi="宋体" w:cs="宋体"/>
                      <w:kern w:val="0"/>
                      <w:szCs w:val="21"/>
                    </w:rPr>
                  </w:pPr>
                  <w:r>
                    <w:rPr>
                      <w:rFonts w:hint="eastAsia" w:ascii="宋体" w:hAnsi="宋体" w:cs="宋体"/>
                      <w:kern w:val="0"/>
                      <w:szCs w:val="21"/>
                      <w:u w:val="single"/>
                    </w:rPr>
                    <w:t xml:space="preserve">          （项目名称）                </w:t>
                  </w:r>
                  <w:r>
                    <w:rPr>
                      <w:rFonts w:hint="eastAsia" w:ascii="宋体" w:hAnsi="宋体" w:cs="宋体"/>
                      <w:kern w:val="0"/>
                      <w:szCs w:val="21"/>
                    </w:rPr>
                    <w:t>响应文件</w:t>
                  </w:r>
                </w:p>
                <w:p w14:paraId="071782B5">
                  <w:pPr>
                    <w:wordWrap w:val="0"/>
                    <w:topLinePunct/>
                    <w:adjustRightInd w:val="0"/>
                    <w:snapToGrid w:val="0"/>
                    <w:spacing w:line="400" w:lineRule="exact"/>
                    <w:ind w:firstLine="436" w:firstLineChars="208"/>
                    <w:rPr>
                      <w:rFonts w:hint="eastAsia" w:ascii="宋体" w:hAnsi="宋体" w:cs="宋体"/>
                      <w:kern w:val="0"/>
                      <w:szCs w:val="21"/>
                    </w:rPr>
                  </w:pPr>
                  <w:r>
                    <w:rPr>
                      <w:rFonts w:hint="eastAsia" w:ascii="宋体" w:hAnsi="宋体" w:cs="宋体"/>
                      <w:kern w:val="0"/>
                      <w:szCs w:val="21"/>
                    </w:rPr>
                    <w:t>比选供应商名称：</w:t>
                  </w:r>
                  <w:r>
                    <w:rPr>
                      <w:rFonts w:hint="eastAsia" w:ascii="宋体" w:hAnsi="宋体" w:cs="宋体"/>
                      <w:kern w:val="0"/>
                      <w:szCs w:val="21"/>
                      <w:u w:val="single"/>
                    </w:rPr>
                    <w:t xml:space="preserve">           </w:t>
                  </w:r>
                  <w:r>
                    <w:rPr>
                      <w:rFonts w:hint="eastAsia" w:ascii="宋体" w:hAnsi="宋体" w:cs="宋体"/>
                      <w:kern w:val="0"/>
                      <w:szCs w:val="21"/>
                    </w:rPr>
                    <w:t>（加盖单位公章）</w:t>
                  </w:r>
                </w:p>
                <w:p w14:paraId="2BFE1EEA">
                  <w:pPr>
                    <w:adjustRightInd w:val="0"/>
                    <w:snapToGrid w:val="0"/>
                    <w:spacing w:line="400" w:lineRule="exact"/>
                    <w:ind w:firstLine="436" w:firstLineChars="208"/>
                    <w:rPr>
                      <w:rFonts w:hint="eastAsia" w:ascii="宋体" w:hAnsi="宋体" w:cs="宋体"/>
                      <w:kern w:val="0"/>
                      <w:szCs w:val="21"/>
                    </w:rPr>
                  </w:pPr>
                  <w:r>
                    <w:rPr>
                      <w:rFonts w:hint="eastAsia" w:ascii="宋体" w:hAnsi="宋体" w:cs="宋体"/>
                      <w:kern w:val="0"/>
                      <w:szCs w:val="21"/>
                    </w:rPr>
                    <w:t>在</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ascii="宋体" w:hAnsi="宋体" w:cs="宋体"/>
                      <w:kern w:val="0"/>
                      <w:szCs w:val="21"/>
                      <w:u w:val="single"/>
                    </w:rPr>
                    <w:t xml:space="preserve"> </w:t>
                  </w:r>
                  <w:r>
                    <w:rPr>
                      <w:rFonts w:hint="eastAsia" w:ascii="宋体" w:hAnsi="宋体" w:cs="宋体"/>
                      <w:kern w:val="0"/>
                      <w:szCs w:val="21"/>
                      <w:u w:val="single"/>
                    </w:rPr>
                    <w:t xml:space="preserve"> </w:t>
                  </w:r>
                  <w:r>
                    <w:rPr>
                      <w:rFonts w:hint="eastAsia" w:ascii="宋体" w:hAnsi="宋体" w:cs="宋体"/>
                      <w:kern w:val="0"/>
                      <w:szCs w:val="21"/>
                    </w:rPr>
                    <w:t>日</w:t>
                  </w:r>
                  <w:r>
                    <w:rPr>
                      <w:rFonts w:hint="eastAsia" w:ascii="宋体" w:hAnsi="宋体" w:cs="宋体"/>
                      <w:kern w:val="0"/>
                      <w:szCs w:val="21"/>
                      <w:u w:val="single"/>
                    </w:rPr>
                    <w:t xml:space="preserve"> </w:t>
                  </w:r>
                  <w:r>
                    <w:rPr>
                      <w:rFonts w:ascii="宋体" w:hAnsi="宋体" w:cs="宋体"/>
                      <w:kern w:val="0"/>
                      <w:szCs w:val="21"/>
                      <w:u w:val="single"/>
                    </w:rPr>
                    <w:t xml:space="preserve"> </w:t>
                  </w:r>
                  <w:r>
                    <w:rPr>
                      <w:rFonts w:hint="eastAsia" w:ascii="宋体" w:hAnsi="宋体" w:cs="宋体"/>
                      <w:kern w:val="0"/>
                      <w:szCs w:val="21"/>
                      <w:u w:val="single"/>
                    </w:rPr>
                    <w:t xml:space="preserve"> </w:t>
                  </w:r>
                  <w:r>
                    <w:rPr>
                      <w:rFonts w:hint="eastAsia" w:ascii="宋体" w:hAnsi="宋体" w:cs="宋体"/>
                      <w:kern w:val="0"/>
                      <w:szCs w:val="21"/>
                    </w:rPr>
                    <w:t>时</w:t>
                  </w:r>
                  <w:r>
                    <w:rPr>
                      <w:rFonts w:hint="eastAsia" w:ascii="宋体" w:hAnsi="宋体" w:cs="宋体"/>
                      <w:kern w:val="0"/>
                      <w:szCs w:val="21"/>
                      <w:u w:val="single"/>
                    </w:rPr>
                    <w:t xml:space="preserve">  </w:t>
                  </w:r>
                  <w:r>
                    <w:rPr>
                      <w:rFonts w:hint="eastAsia" w:ascii="宋体" w:hAnsi="宋体" w:cs="宋体"/>
                      <w:kern w:val="0"/>
                      <w:szCs w:val="21"/>
                    </w:rPr>
                    <w:t>分（同比选截止时间）前不得开启</w:t>
                  </w:r>
                </w:p>
              </w:tc>
            </w:tr>
          </w:tbl>
          <w:p w14:paraId="1F001D66">
            <w:pPr>
              <w:autoSpaceDN w:val="0"/>
              <w:spacing w:line="400" w:lineRule="exact"/>
              <w:ind w:firstLine="422" w:firstLineChars="200"/>
              <w:rPr>
                <w:rFonts w:hint="eastAsia" w:ascii="宋体" w:hAnsi="宋体" w:cs="宋体"/>
                <w:b/>
                <w:szCs w:val="21"/>
              </w:rPr>
            </w:pPr>
            <w:r>
              <w:rPr>
                <w:rFonts w:hint="eastAsia" w:ascii="宋体" w:hAnsi="宋体" w:cs="宋体"/>
                <w:b/>
                <w:szCs w:val="21"/>
              </w:rPr>
              <w:t>四、签字盖章要求</w:t>
            </w:r>
          </w:p>
          <w:p w14:paraId="6274859B">
            <w:pPr>
              <w:snapToGrid w:val="0"/>
              <w:spacing w:line="400" w:lineRule="exact"/>
              <w:ind w:firstLine="420" w:firstLineChars="200"/>
              <w:rPr>
                <w:rFonts w:hint="eastAsia" w:ascii="宋体" w:hAnsi="宋体" w:cs="宋体"/>
                <w:szCs w:val="21"/>
              </w:rPr>
            </w:pPr>
            <w:r>
              <w:rPr>
                <w:rFonts w:hint="eastAsia" w:ascii="宋体" w:hAnsi="宋体" w:cs="宋体"/>
                <w:szCs w:val="21"/>
              </w:rPr>
              <w:t>1.响应文件格式上要求签字盖章的地方必须加盖</w:t>
            </w:r>
            <w:r>
              <w:rPr>
                <w:rFonts w:hint="eastAsia" w:ascii="宋体" w:hAnsi="宋体" w:cs="宋体"/>
                <w:kern w:val="0"/>
                <w:szCs w:val="21"/>
              </w:rPr>
              <w:t>比选供应商</w:t>
            </w:r>
            <w:r>
              <w:rPr>
                <w:rFonts w:hint="eastAsia" w:ascii="宋体" w:hAnsi="宋体" w:cs="宋体"/>
                <w:szCs w:val="21"/>
              </w:rPr>
              <w:t>单位公章及</w:t>
            </w:r>
            <w:r>
              <w:rPr>
                <w:rFonts w:hint="eastAsia" w:ascii="宋体" w:hAnsi="宋体" w:cs="宋体"/>
                <w:kern w:val="0"/>
                <w:szCs w:val="21"/>
              </w:rPr>
              <w:t>比选供应商</w:t>
            </w:r>
            <w:r>
              <w:rPr>
                <w:rFonts w:hint="eastAsia" w:ascii="宋体" w:hAnsi="宋体" w:cs="宋体"/>
                <w:szCs w:val="21"/>
              </w:rPr>
              <w:t>的法定代表人</w:t>
            </w:r>
            <w:r>
              <w:rPr>
                <w:rFonts w:hint="eastAsia" w:ascii="宋体" w:hAnsi="宋体" w:cs="MingLiU"/>
                <w:snapToGrid w:val="0"/>
                <w:kern w:val="0"/>
                <w:szCs w:val="21"/>
              </w:rPr>
              <w:t>（或单位负责人）</w:t>
            </w:r>
            <w:r>
              <w:rPr>
                <w:rFonts w:hint="eastAsia" w:ascii="宋体" w:hAnsi="宋体" w:cs="宋体"/>
                <w:szCs w:val="21"/>
              </w:rPr>
              <w:t>或授权代理人签字。</w:t>
            </w:r>
          </w:p>
          <w:p w14:paraId="2B3663F3">
            <w:pPr>
              <w:pStyle w:val="43"/>
              <w:rPr>
                <w:rFonts w:hint="eastAsia"/>
              </w:rPr>
            </w:pPr>
            <w:r>
              <w:rPr>
                <w:rFonts w:hint="eastAsia"/>
              </w:rPr>
              <w:t>2</w:t>
            </w:r>
            <w:r>
              <w:t>.</w:t>
            </w:r>
            <w:r>
              <w:rPr>
                <w:rFonts w:hint="eastAsia"/>
              </w:rPr>
              <w:t>比选供应商应按</w:t>
            </w:r>
            <w:r>
              <w:t>要求提供，</w:t>
            </w:r>
            <w:r>
              <w:rPr>
                <w:rFonts w:hint="eastAsia"/>
              </w:rPr>
              <w:t>否则将被否决</w:t>
            </w:r>
            <w:r>
              <w:t>。</w:t>
            </w:r>
          </w:p>
        </w:tc>
      </w:tr>
      <w:tr w14:paraId="306F5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2" w:type="dxa"/>
            <w:vAlign w:val="center"/>
          </w:tcPr>
          <w:p w14:paraId="3D2A6776">
            <w:pPr>
              <w:adjustRightInd w:val="0"/>
              <w:snapToGrid w:val="0"/>
              <w:spacing w:line="400" w:lineRule="exact"/>
              <w:jc w:val="center"/>
              <w:rPr>
                <w:rFonts w:hint="eastAsia" w:ascii="宋体" w:hAnsi="宋体" w:cs="宋体"/>
                <w:szCs w:val="21"/>
              </w:rPr>
            </w:pPr>
            <w:r>
              <w:rPr>
                <w:rFonts w:hint="eastAsia" w:ascii="宋体" w:hAnsi="宋体" w:cs="宋体"/>
                <w:szCs w:val="21"/>
              </w:rPr>
              <w:t>D.16</w:t>
            </w:r>
          </w:p>
        </w:tc>
        <w:tc>
          <w:tcPr>
            <w:tcW w:w="1417" w:type="dxa"/>
            <w:vAlign w:val="center"/>
          </w:tcPr>
          <w:p w14:paraId="1ECFE21A">
            <w:pPr>
              <w:adjustRightInd w:val="0"/>
              <w:snapToGrid w:val="0"/>
              <w:spacing w:line="400" w:lineRule="exact"/>
              <w:jc w:val="center"/>
              <w:rPr>
                <w:rFonts w:hint="eastAsia" w:ascii="宋体" w:hAnsi="宋体" w:cs="宋体"/>
                <w:szCs w:val="21"/>
              </w:rPr>
            </w:pPr>
            <w:r>
              <w:rPr>
                <w:rFonts w:hint="eastAsia" w:ascii="宋体" w:hAnsi="宋体" w:cs="宋体"/>
                <w:szCs w:val="21"/>
              </w:rPr>
              <w:t>比选截止时间及响应文件递交地点</w:t>
            </w:r>
          </w:p>
        </w:tc>
        <w:tc>
          <w:tcPr>
            <w:tcW w:w="6804" w:type="dxa"/>
            <w:vAlign w:val="center"/>
          </w:tcPr>
          <w:p w14:paraId="2821B6D2">
            <w:pPr>
              <w:spacing w:line="400" w:lineRule="exact"/>
              <w:ind w:firstLine="420" w:firstLineChars="200"/>
              <w:rPr>
                <w:rFonts w:hint="eastAsia" w:ascii="宋体" w:hAnsi="宋体" w:cs="宋体"/>
                <w:szCs w:val="21"/>
              </w:rPr>
            </w:pPr>
            <w:r>
              <w:rPr>
                <w:rFonts w:hint="eastAsia" w:ascii="宋体" w:hAnsi="宋体" w:cs="宋体"/>
                <w:bCs/>
                <w:szCs w:val="21"/>
              </w:rPr>
              <w:t>详见第一章比选公告。</w:t>
            </w:r>
          </w:p>
        </w:tc>
      </w:tr>
      <w:tr w14:paraId="26A26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3" w:type="dxa"/>
            <w:gridSpan w:val="3"/>
          </w:tcPr>
          <w:p w14:paraId="39C3C67C">
            <w:pPr>
              <w:adjustRightInd w:val="0"/>
              <w:snapToGrid w:val="0"/>
              <w:spacing w:line="400" w:lineRule="exact"/>
              <w:jc w:val="center"/>
              <w:rPr>
                <w:rFonts w:hint="eastAsia" w:ascii="宋体" w:hAnsi="宋体" w:cs="宋体"/>
                <w:b/>
                <w:szCs w:val="21"/>
              </w:rPr>
            </w:pPr>
            <w:r>
              <w:rPr>
                <w:rFonts w:hint="eastAsia" w:ascii="宋体" w:hAnsi="宋体" w:cs="宋体"/>
                <w:b/>
                <w:szCs w:val="21"/>
              </w:rPr>
              <w:t>E  开  标  及  评  标</w:t>
            </w:r>
          </w:p>
        </w:tc>
      </w:tr>
      <w:tr w14:paraId="551E2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2" w:type="dxa"/>
            <w:vAlign w:val="center"/>
          </w:tcPr>
          <w:p w14:paraId="3F00148F">
            <w:pPr>
              <w:adjustRightInd w:val="0"/>
              <w:snapToGrid w:val="0"/>
              <w:spacing w:line="400" w:lineRule="exact"/>
              <w:jc w:val="center"/>
              <w:rPr>
                <w:rFonts w:hint="eastAsia" w:ascii="宋体" w:hAnsi="宋体" w:cs="宋体"/>
                <w:szCs w:val="21"/>
              </w:rPr>
            </w:pPr>
            <w:r>
              <w:rPr>
                <w:rFonts w:hint="eastAsia" w:ascii="宋体" w:hAnsi="宋体" w:cs="宋体"/>
                <w:szCs w:val="21"/>
              </w:rPr>
              <w:t>E.18.1</w:t>
            </w:r>
          </w:p>
        </w:tc>
        <w:tc>
          <w:tcPr>
            <w:tcW w:w="1417" w:type="dxa"/>
            <w:vAlign w:val="center"/>
          </w:tcPr>
          <w:p w14:paraId="012180A1">
            <w:pPr>
              <w:adjustRightInd w:val="0"/>
              <w:snapToGrid w:val="0"/>
              <w:spacing w:line="400" w:lineRule="exact"/>
              <w:jc w:val="center"/>
              <w:rPr>
                <w:rFonts w:hint="eastAsia" w:ascii="宋体" w:hAnsi="宋体" w:cs="宋体"/>
                <w:szCs w:val="21"/>
              </w:rPr>
            </w:pPr>
            <w:r>
              <w:rPr>
                <w:rFonts w:hint="eastAsia" w:ascii="宋体" w:hAnsi="宋体" w:cs="宋体"/>
                <w:szCs w:val="21"/>
              </w:rPr>
              <w:t>比选时间及地点</w:t>
            </w:r>
          </w:p>
        </w:tc>
        <w:tc>
          <w:tcPr>
            <w:tcW w:w="6804" w:type="dxa"/>
            <w:vAlign w:val="center"/>
          </w:tcPr>
          <w:p w14:paraId="7D504952">
            <w:pPr>
              <w:spacing w:line="400" w:lineRule="exact"/>
              <w:ind w:firstLine="420" w:firstLineChars="200"/>
              <w:rPr>
                <w:rFonts w:hint="eastAsia" w:ascii="宋体" w:hAnsi="宋体" w:cs="宋体"/>
                <w:bCs/>
                <w:szCs w:val="21"/>
              </w:rPr>
            </w:pPr>
            <w:r>
              <w:rPr>
                <w:rFonts w:hint="eastAsia" w:ascii="宋体" w:hAnsi="宋体" w:cs="宋体"/>
                <w:szCs w:val="21"/>
              </w:rPr>
              <w:t>比选</w:t>
            </w:r>
            <w:r>
              <w:rPr>
                <w:rFonts w:hint="eastAsia" w:ascii="宋体" w:hAnsi="宋体" w:cs="宋体"/>
                <w:bCs/>
                <w:szCs w:val="21"/>
              </w:rPr>
              <w:t>时间：同</w:t>
            </w:r>
            <w:r>
              <w:rPr>
                <w:rFonts w:hint="eastAsia" w:ascii="宋体" w:hAnsi="宋体" w:cs="宋体"/>
                <w:szCs w:val="21"/>
              </w:rPr>
              <w:t>比选</w:t>
            </w:r>
            <w:r>
              <w:rPr>
                <w:rFonts w:hint="eastAsia" w:ascii="宋体" w:hAnsi="宋体" w:cs="宋体"/>
                <w:bCs/>
                <w:szCs w:val="21"/>
              </w:rPr>
              <w:t>截止时间；</w:t>
            </w:r>
          </w:p>
          <w:p w14:paraId="0C19CEC5">
            <w:pPr>
              <w:spacing w:line="400" w:lineRule="exact"/>
              <w:ind w:firstLine="420" w:firstLineChars="200"/>
              <w:rPr>
                <w:rFonts w:hint="eastAsia" w:ascii="宋体" w:hAnsi="宋体" w:cs="宋体"/>
                <w:szCs w:val="21"/>
              </w:rPr>
            </w:pPr>
            <w:r>
              <w:rPr>
                <w:rFonts w:hint="eastAsia" w:ascii="宋体" w:hAnsi="宋体" w:cs="宋体"/>
                <w:szCs w:val="21"/>
              </w:rPr>
              <w:t>比选</w:t>
            </w:r>
            <w:r>
              <w:rPr>
                <w:rFonts w:hint="eastAsia" w:ascii="宋体" w:hAnsi="宋体" w:cs="宋体"/>
                <w:bCs/>
                <w:szCs w:val="21"/>
              </w:rPr>
              <w:t>地点：同响应文件递交地点。</w:t>
            </w:r>
          </w:p>
        </w:tc>
      </w:tr>
      <w:tr w14:paraId="5775F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2" w:type="dxa"/>
            <w:vAlign w:val="center"/>
          </w:tcPr>
          <w:p w14:paraId="005306B8">
            <w:pPr>
              <w:adjustRightInd w:val="0"/>
              <w:snapToGrid w:val="0"/>
              <w:spacing w:line="400" w:lineRule="exact"/>
              <w:jc w:val="center"/>
              <w:rPr>
                <w:rFonts w:hint="eastAsia" w:ascii="宋体" w:hAnsi="宋体" w:cs="宋体"/>
                <w:szCs w:val="21"/>
              </w:rPr>
            </w:pPr>
            <w:r>
              <w:rPr>
                <w:rFonts w:hint="eastAsia" w:ascii="宋体" w:hAnsi="宋体" w:cs="宋体"/>
                <w:szCs w:val="21"/>
              </w:rPr>
              <w:t>E.18.4</w:t>
            </w:r>
          </w:p>
        </w:tc>
        <w:tc>
          <w:tcPr>
            <w:tcW w:w="1417" w:type="dxa"/>
            <w:vAlign w:val="center"/>
          </w:tcPr>
          <w:p w14:paraId="0C35791E">
            <w:pPr>
              <w:adjustRightInd w:val="0"/>
              <w:snapToGrid w:val="0"/>
              <w:spacing w:line="400" w:lineRule="exact"/>
              <w:jc w:val="center"/>
              <w:rPr>
                <w:rFonts w:hint="eastAsia" w:ascii="宋体" w:hAnsi="宋体" w:cs="宋体"/>
                <w:szCs w:val="21"/>
              </w:rPr>
            </w:pPr>
            <w:r>
              <w:rPr>
                <w:rFonts w:hint="eastAsia" w:ascii="宋体" w:hAnsi="宋体" w:cs="宋体"/>
                <w:kern w:val="0"/>
                <w:szCs w:val="21"/>
              </w:rPr>
              <w:t>比选供应商</w:t>
            </w:r>
            <w:r>
              <w:rPr>
                <w:rFonts w:hint="eastAsia" w:ascii="宋体" w:hAnsi="宋体" w:cs="宋体"/>
                <w:szCs w:val="21"/>
              </w:rPr>
              <w:t>代表出席开标会</w:t>
            </w:r>
          </w:p>
        </w:tc>
        <w:tc>
          <w:tcPr>
            <w:tcW w:w="6804" w:type="dxa"/>
            <w:vAlign w:val="center"/>
          </w:tcPr>
          <w:p w14:paraId="7A74372F">
            <w:pPr>
              <w:spacing w:line="400" w:lineRule="exact"/>
              <w:ind w:firstLine="420" w:firstLineChars="200"/>
              <w:rPr>
                <w:rFonts w:hint="eastAsia" w:ascii="宋体" w:hAnsi="宋体" w:cs="宋体"/>
                <w:szCs w:val="21"/>
              </w:rPr>
            </w:pPr>
            <w:r>
              <w:rPr>
                <w:rFonts w:hint="eastAsia" w:ascii="宋体" w:hAnsi="宋体" w:cs="宋体"/>
                <w:kern w:val="0"/>
                <w:szCs w:val="21"/>
              </w:rPr>
              <w:t>比选供应商应派一名</w:t>
            </w:r>
            <w:r>
              <w:rPr>
                <w:rFonts w:hint="eastAsia" w:ascii="宋体" w:hAnsi="宋体" w:cs="宋体"/>
                <w:szCs w:val="21"/>
              </w:rPr>
              <w:t>代表出席比选会。如果</w:t>
            </w:r>
            <w:r>
              <w:rPr>
                <w:rFonts w:hint="eastAsia" w:ascii="宋体" w:hAnsi="宋体" w:cs="宋体"/>
                <w:kern w:val="0"/>
                <w:szCs w:val="21"/>
              </w:rPr>
              <w:t>比选供应商</w:t>
            </w:r>
            <w:r>
              <w:rPr>
                <w:rFonts w:hint="eastAsia" w:ascii="宋体" w:hAnsi="宋体" w:cs="宋体"/>
                <w:szCs w:val="21"/>
              </w:rPr>
              <w:t>代表未出席比选会，则视其为</w:t>
            </w:r>
            <w:r>
              <w:rPr>
                <w:rFonts w:hint="eastAsia" w:ascii="宋体" w:hAnsi="宋体" w:cs="宋体"/>
                <w:kern w:val="0"/>
                <w:szCs w:val="21"/>
              </w:rPr>
              <w:t>未实质性响应比选文件</w:t>
            </w:r>
            <w:r>
              <w:rPr>
                <w:rFonts w:hint="eastAsia" w:ascii="宋体" w:hAnsi="宋体" w:cs="宋体"/>
                <w:szCs w:val="21"/>
              </w:rPr>
              <w:t>，其响应文件</w:t>
            </w:r>
            <w:r>
              <w:rPr>
                <w:rFonts w:hint="eastAsia" w:hAnsi="宋体" w:cs="宋体"/>
                <w:szCs w:val="21"/>
              </w:rPr>
              <w:t>将被否决。</w:t>
            </w:r>
          </w:p>
        </w:tc>
      </w:tr>
      <w:tr w14:paraId="2C4DC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2" w:type="dxa"/>
            <w:vAlign w:val="center"/>
          </w:tcPr>
          <w:p w14:paraId="62EA2969">
            <w:pPr>
              <w:adjustRightInd w:val="0"/>
              <w:snapToGrid w:val="0"/>
              <w:spacing w:line="400" w:lineRule="exact"/>
              <w:jc w:val="center"/>
              <w:rPr>
                <w:rFonts w:hint="eastAsia" w:ascii="宋体" w:hAnsi="宋体" w:cs="宋体"/>
                <w:szCs w:val="21"/>
              </w:rPr>
            </w:pPr>
            <w:r>
              <w:rPr>
                <w:rFonts w:hint="eastAsia" w:ascii="宋体" w:hAnsi="宋体" w:cs="宋体"/>
                <w:szCs w:val="21"/>
              </w:rPr>
              <w:t>E.18.5</w:t>
            </w:r>
          </w:p>
        </w:tc>
        <w:tc>
          <w:tcPr>
            <w:tcW w:w="1417" w:type="dxa"/>
            <w:vAlign w:val="center"/>
          </w:tcPr>
          <w:p w14:paraId="4C4384F3">
            <w:pPr>
              <w:adjustRightInd w:val="0"/>
              <w:snapToGrid w:val="0"/>
              <w:spacing w:line="400" w:lineRule="exact"/>
              <w:jc w:val="center"/>
              <w:rPr>
                <w:rFonts w:hint="eastAsia" w:ascii="宋体" w:hAnsi="宋体" w:cs="宋体"/>
                <w:szCs w:val="21"/>
              </w:rPr>
            </w:pPr>
            <w:r>
              <w:rPr>
                <w:rFonts w:hint="eastAsia" w:ascii="宋体" w:hAnsi="宋体" w:cs="宋体"/>
                <w:szCs w:val="21"/>
              </w:rPr>
              <w:t>开标会议</w:t>
            </w:r>
          </w:p>
        </w:tc>
        <w:tc>
          <w:tcPr>
            <w:tcW w:w="6804" w:type="dxa"/>
            <w:vAlign w:val="center"/>
          </w:tcPr>
          <w:p w14:paraId="55503604">
            <w:pPr>
              <w:spacing w:line="400" w:lineRule="exact"/>
              <w:ind w:firstLine="420" w:firstLineChars="200"/>
              <w:rPr>
                <w:rFonts w:hint="eastAsia" w:ascii="宋体" w:hAnsi="宋体"/>
                <w:kern w:val="0"/>
                <w:szCs w:val="21"/>
              </w:rPr>
            </w:pPr>
            <w:r>
              <w:rPr>
                <w:rFonts w:hint="eastAsia" w:ascii="宋体" w:hAnsi="宋体"/>
                <w:kern w:val="0"/>
                <w:szCs w:val="21"/>
              </w:rPr>
              <w:t>1</w:t>
            </w:r>
            <w:r>
              <w:rPr>
                <w:rFonts w:ascii="宋体" w:hAnsi="宋体"/>
                <w:kern w:val="0"/>
                <w:szCs w:val="21"/>
              </w:rPr>
              <w:t>.</w:t>
            </w:r>
            <w:r>
              <w:rPr>
                <w:rFonts w:hint="eastAsia" w:ascii="宋体" w:hAnsi="宋体"/>
                <w:kern w:val="0"/>
                <w:szCs w:val="21"/>
              </w:rPr>
              <w:t>密封情况检查：</w:t>
            </w:r>
            <w:r>
              <w:rPr>
                <w:rFonts w:hint="eastAsia" w:ascii="宋体" w:hAnsi="宋体" w:cs="宋体"/>
                <w:kern w:val="0"/>
                <w:szCs w:val="21"/>
              </w:rPr>
              <w:t>比选供应商</w:t>
            </w:r>
            <w:r>
              <w:rPr>
                <w:rFonts w:hint="eastAsia" w:ascii="宋体" w:hAnsi="宋体"/>
                <w:szCs w:val="21"/>
              </w:rPr>
              <w:t>代表或其推荐代表检查；</w:t>
            </w:r>
          </w:p>
          <w:p w14:paraId="01352C32">
            <w:pPr>
              <w:spacing w:line="400" w:lineRule="exact"/>
              <w:ind w:firstLine="420" w:firstLineChars="200"/>
              <w:rPr>
                <w:rFonts w:hint="eastAsia" w:ascii="宋体" w:hAnsi="宋体"/>
                <w:kern w:val="0"/>
                <w:szCs w:val="21"/>
              </w:rPr>
            </w:pPr>
            <w:r>
              <w:rPr>
                <w:rFonts w:hint="eastAsia" w:ascii="宋体" w:hAnsi="宋体"/>
                <w:kern w:val="0"/>
                <w:szCs w:val="21"/>
              </w:rPr>
              <w:t>2</w:t>
            </w:r>
            <w:r>
              <w:rPr>
                <w:rFonts w:ascii="宋体" w:hAnsi="宋体"/>
                <w:kern w:val="0"/>
                <w:szCs w:val="21"/>
              </w:rPr>
              <w:t>.</w:t>
            </w:r>
            <w:r>
              <w:rPr>
                <w:rFonts w:hint="eastAsia" w:ascii="宋体" w:hAnsi="宋体" w:cs="宋体"/>
                <w:szCs w:val="21"/>
              </w:rPr>
              <w:t>展示</w:t>
            </w:r>
            <w:r>
              <w:rPr>
                <w:rFonts w:hint="eastAsia" w:ascii="宋体" w:hAnsi="宋体" w:cs="宋体"/>
                <w:kern w:val="0"/>
                <w:szCs w:val="21"/>
              </w:rPr>
              <w:t>比选供应商</w:t>
            </w:r>
            <w:r>
              <w:rPr>
                <w:rFonts w:ascii="宋体" w:hAnsi="宋体" w:cs="宋体"/>
                <w:szCs w:val="21"/>
              </w:rPr>
              <w:t>保证金递交情况；</w:t>
            </w:r>
          </w:p>
          <w:p w14:paraId="6FED2D7D">
            <w:pPr>
              <w:spacing w:line="400" w:lineRule="exact"/>
              <w:ind w:firstLine="420" w:firstLineChars="200"/>
              <w:rPr>
                <w:rFonts w:hint="eastAsia" w:ascii="宋体" w:hAnsi="宋体"/>
                <w:kern w:val="0"/>
                <w:szCs w:val="21"/>
              </w:rPr>
            </w:pPr>
            <w:r>
              <w:rPr>
                <w:rFonts w:hint="eastAsia" w:ascii="宋体" w:hAnsi="宋体"/>
                <w:kern w:val="0"/>
                <w:szCs w:val="21"/>
              </w:rPr>
              <w:t>3</w:t>
            </w:r>
            <w:r>
              <w:rPr>
                <w:rFonts w:ascii="宋体" w:hAnsi="宋体"/>
                <w:kern w:val="0"/>
                <w:szCs w:val="21"/>
              </w:rPr>
              <w:t>.</w:t>
            </w:r>
            <w:r>
              <w:rPr>
                <w:rFonts w:hint="eastAsia" w:ascii="宋体" w:hAnsi="宋体"/>
                <w:kern w:val="0"/>
                <w:szCs w:val="21"/>
              </w:rPr>
              <w:t>宣读最高限价（如有）；</w:t>
            </w:r>
          </w:p>
          <w:p w14:paraId="78F6FE82">
            <w:pPr>
              <w:spacing w:line="400" w:lineRule="exact"/>
              <w:ind w:firstLine="420" w:firstLineChars="200"/>
              <w:rPr>
                <w:rFonts w:hint="eastAsia" w:ascii="宋体" w:hAnsi="宋体"/>
                <w:kern w:val="0"/>
                <w:szCs w:val="21"/>
              </w:rPr>
            </w:pPr>
            <w:r>
              <w:rPr>
                <w:rFonts w:hint="eastAsia" w:ascii="宋体" w:hAnsi="宋体"/>
                <w:kern w:val="0"/>
                <w:szCs w:val="21"/>
              </w:rPr>
              <w:t>4</w:t>
            </w:r>
            <w:r>
              <w:rPr>
                <w:rFonts w:ascii="宋体" w:hAnsi="宋体"/>
                <w:kern w:val="0"/>
                <w:szCs w:val="21"/>
              </w:rPr>
              <w:t>.</w:t>
            </w:r>
            <w:r>
              <w:rPr>
                <w:rFonts w:hint="eastAsia" w:ascii="宋体" w:hAnsi="宋体"/>
                <w:kern w:val="0"/>
                <w:szCs w:val="21"/>
              </w:rPr>
              <w:t>开标顺序：</w:t>
            </w:r>
            <w:r>
              <w:rPr>
                <w:rFonts w:hint="eastAsia" w:ascii="宋体" w:hAnsi="宋体"/>
                <w:szCs w:val="21"/>
              </w:rPr>
              <w:t>随机开启响应文件</w:t>
            </w:r>
            <w:r>
              <w:rPr>
                <w:rFonts w:hint="eastAsia" w:ascii="宋体" w:hAnsi="宋体"/>
                <w:kern w:val="0"/>
                <w:szCs w:val="21"/>
              </w:rPr>
              <w:t>；</w:t>
            </w:r>
          </w:p>
          <w:p w14:paraId="368EAE66">
            <w:pPr>
              <w:spacing w:line="400" w:lineRule="exact"/>
              <w:ind w:firstLine="420" w:firstLineChars="200"/>
              <w:rPr>
                <w:rFonts w:hint="eastAsia" w:ascii="宋体" w:hAnsi="宋体"/>
                <w:kern w:val="0"/>
                <w:szCs w:val="21"/>
              </w:rPr>
            </w:pPr>
            <w:r>
              <w:rPr>
                <w:rFonts w:hint="eastAsia" w:ascii="宋体" w:hAnsi="宋体"/>
                <w:kern w:val="0"/>
                <w:szCs w:val="21"/>
              </w:rPr>
              <w:t>5</w:t>
            </w:r>
            <w:r>
              <w:rPr>
                <w:rFonts w:ascii="宋体" w:hAnsi="宋体"/>
                <w:kern w:val="0"/>
                <w:szCs w:val="21"/>
              </w:rPr>
              <w:t>.</w:t>
            </w:r>
            <w:r>
              <w:rPr>
                <w:rFonts w:hint="eastAsia" w:ascii="宋体" w:hAnsi="宋体"/>
                <w:szCs w:val="21"/>
              </w:rPr>
              <w:t>由工作人员当众开启密封袋，并公布</w:t>
            </w:r>
            <w:r>
              <w:rPr>
                <w:rFonts w:hint="eastAsia" w:ascii="宋体" w:hAnsi="宋体" w:cs="宋体"/>
                <w:kern w:val="0"/>
                <w:szCs w:val="21"/>
              </w:rPr>
              <w:t>比选供应商</w:t>
            </w:r>
            <w:r>
              <w:rPr>
                <w:rFonts w:hint="eastAsia" w:ascii="宋体" w:hAnsi="宋体"/>
                <w:szCs w:val="21"/>
              </w:rPr>
              <w:t>名称、初始报</w:t>
            </w:r>
            <w:r>
              <w:rPr>
                <w:rFonts w:ascii="宋体" w:hAnsi="宋体"/>
                <w:szCs w:val="21"/>
              </w:rPr>
              <w:t>价</w:t>
            </w:r>
            <w:r>
              <w:rPr>
                <w:rFonts w:hint="eastAsia" w:ascii="宋体" w:hAnsi="宋体"/>
                <w:szCs w:val="21"/>
              </w:rPr>
              <w:t>、项目地点及其他内容。比选会过程中，工作人员如发现响应文件组成部分不齐全或者比选报价函部分的组成及内容有瑕疵，或对上述内容存有疑问的，应在比选记录表上如实记录，由评审委员会认定其有效性，评审委员会认定的无效响应文件或被评审委员会否决的响应文件将不得进入评审阶段；</w:t>
            </w:r>
          </w:p>
          <w:p w14:paraId="1AC54B8F">
            <w:pPr>
              <w:spacing w:line="400" w:lineRule="exact"/>
              <w:ind w:firstLine="420" w:firstLineChars="200"/>
              <w:rPr>
                <w:rFonts w:hint="eastAsia" w:ascii="宋体" w:hAnsi="宋体"/>
                <w:kern w:val="0"/>
                <w:szCs w:val="21"/>
              </w:rPr>
            </w:pPr>
            <w:r>
              <w:rPr>
                <w:rFonts w:hint="eastAsia" w:ascii="宋体" w:hAnsi="宋体"/>
                <w:kern w:val="0"/>
                <w:szCs w:val="21"/>
              </w:rPr>
              <w:t>6</w:t>
            </w:r>
            <w:r>
              <w:rPr>
                <w:rFonts w:ascii="宋体" w:hAnsi="宋体"/>
                <w:kern w:val="0"/>
                <w:szCs w:val="21"/>
              </w:rPr>
              <w:t>.</w:t>
            </w:r>
            <w:r>
              <w:rPr>
                <w:rFonts w:hint="eastAsia" w:ascii="宋体" w:hAnsi="宋体"/>
                <w:kern w:val="0"/>
                <w:szCs w:val="21"/>
              </w:rPr>
              <w:t>比选供应商代表、比选人代表、监督人员、记录人等有关人员在比选记录上签字确认；</w:t>
            </w:r>
          </w:p>
          <w:p w14:paraId="1DF071E3">
            <w:pPr>
              <w:spacing w:line="400" w:lineRule="exact"/>
              <w:ind w:firstLine="420" w:firstLineChars="200"/>
              <w:rPr>
                <w:rFonts w:hint="eastAsia" w:ascii="宋体" w:hAnsi="宋体" w:cs="宋体"/>
                <w:szCs w:val="21"/>
              </w:rPr>
            </w:pPr>
            <w:r>
              <w:rPr>
                <w:rFonts w:hint="eastAsia" w:ascii="宋体" w:hAnsi="宋体"/>
                <w:kern w:val="0"/>
                <w:szCs w:val="21"/>
              </w:rPr>
              <w:t>7</w:t>
            </w:r>
            <w:r>
              <w:rPr>
                <w:rFonts w:ascii="宋体" w:hAnsi="宋体"/>
                <w:kern w:val="0"/>
                <w:szCs w:val="21"/>
              </w:rPr>
              <w:t>.</w:t>
            </w:r>
            <w:r>
              <w:rPr>
                <w:rFonts w:hint="eastAsia" w:ascii="宋体" w:hAnsi="宋体"/>
                <w:kern w:val="0"/>
                <w:szCs w:val="21"/>
              </w:rPr>
              <w:t>比选会结束。</w:t>
            </w:r>
          </w:p>
        </w:tc>
      </w:tr>
      <w:tr w14:paraId="37DE2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112" w:type="dxa"/>
            <w:vAlign w:val="center"/>
          </w:tcPr>
          <w:p w14:paraId="3F2A1BFB">
            <w:pPr>
              <w:adjustRightInd w:val="0"/>
              <w:snapToGrid w:val="0"/>
              <w:spacing w:line="400" w:lineRule="exact"/>
              <w:jc w:val="center"/>
              <w:rPr>
                <w:rFonts w:hint="eastAsia" w:ascii="宋体" w:hAnsi="宋体" w:cs="宋体"/>
                <w:szCs w:val="21"/>
              </w:rPr>
            </w:pPr>
            <w:r>
              <w:rPr>
                <w:rFonts w:hint="eastAsia" w:ascii="宋体" w:hAnsi="宋体" w:cs="宋体"/>
                <w:szCs w:val="21"/>
              </w:rPr>
              <w:t>E.19</w:t>
            </w:r>
            <w:r>
              <w:rPr>
                <w:rFonts w:ascii="宋体" w:hAnsi="宋体" w:cs="宋体"/>
                <w:szCs w:val="21"/>
              </w:rPr>
              <w:t>.1</w:t>
            </w:r>
            <w:r>
              <w:rPr>
                <w:rFonts w:hint="eastAsia" w:ascii="宋体" w:hAnsi="宋体" w:cs="宋体"/>
                <w:szCs w:val="21"/>
              </w:rPr>
              <w:t>.1</w:t>
            </w:r>
          </w:p>
        </w:tc>
        <w:tc>
          <w:tcPr>
            <w:tcW w:w="1417" w:type="dxa"/>
            <w:vAlign w:val="center"/>
          </w:tcPr>
          <w:p w14:paraId="4D8044F9">
            <w:pPr>
              <w:adjustRightInd w:val="0"/>
              <w:snapToGrid w:val="0"/>
              <w:spacing w:line="400" w:lineRule="exact"/>
              <w:jc w:val="center"/>
              <w:rPr>
                <w:rFonts w:hint="eastAsia" w:ascii="宋体" w:hAnsi="宋体" w:cs="宋体"/>
                <w:szCs w:val="21"/>
              </w:rPr>
            </w:pPr>
            <w:r>
              <w:rPr>
                <w:rFonts w:hint="eastAsia" w:ascii="宋体" w:hAnsi="宋体" w:cs="宋体"/>
                <w:szCs w:val="21"/>
              </w:rPr>
              <w:t>评审委员会</w:t>
            </w:r>
          </w:p>
        </w:tc>
        <w:tc>
          <w:tcPr>
            <w:tcW w:w="6804" w:type="dxa"/>
            <w:vAlign w:val="center"/>
          </w:tcPr>
          <w:p w14:paraId="4CE2E7A9">
            <w:pPr>
              <w:autoSpaceDE w:val="0"/>
              <w:autoSpaceDN w:val="0"/>
              <w:adjustRightInd w:val="0"/>
              <w:snapToGrid w:val="0"/>
              <w:spacing w:line="400" w:lineRule="exact"/>
              <w:ind w:firstLine="436" w:firstLineChars="200"/>
              <w:jc w:val="left"/>
              <w:rPr>
                <w:rFonts w:hint="eastAsia" w:ascii="宋体" w:hAnsi="宋体" w:cs="宋体"/>
                <w:kern w:val="0"/>
                <w:szCs w:val="21"/>
              </w:rPr>
            </w:pPr>
            <w:r>
              <w:rPr>
                <w:rFonts w:hint="eastAsia" w:ascii="宋体" w:hAnsi="宋体" w:cs="宋体"/>
                <w:spacing w:val="4"/>
                <w:kern w:val="0"/>
                <w:szCs w:val="21"/>
              </w:rPr>
              <w:t>由比选人按法律法规及相关规定依法组建评审委员会</w:t>
            </w:r>
            <w:r>
              <w:rPr>
                <w:rFonts w:hint="eastAsia" w:ascii="宋体" w:hAnsi="宋体" w:cs="宋体"/>
                <w:kern w:val="0"/>
                <w:szCs w:val="21"/>
              </w:rPr>
              <w:t>。</w:t>
            </w:r>
          </w:p>
        </w:tc>
      </w:tr>
      <w:tr w14:paraId="29365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12" w:type="dxa"/>
            <w:vAlign w:val="center"/>
          </w:tcPr>
          <w:p w14:paraId="6128E6E0">
            <w:pPr>
              <w:adjustRightInd w:val="0"/>
              <w:snapToGrid w:val="0"/>
              <w:spacing w:line="400" w:lineRule="exact"/>
              <w:jc w:val="center"/>
              <w:rPr>
                <w:rFonts w:hint="eastAsia" w:ascii="宋体" w:hAnsi="宋体" w:cs="宋体"/>
                <w:szCs w:val="21"/>
              </w:rPr>
            </w:pPr>
            <w:r>
              <w:rPr>
                <w:rFonts w:hint="eastAsia" w:ascii="宋体" w:hAnsi="宋体" w:cs="宋体"/>
                <w:szCs w:val="21"/>
              </w:rPr>
              <w:t>E.19.2</w:t>
            </w:r>
          </w:p>
        </w:tc>
        <w:tc>
          <w:tcPr>
            <w:tcW w:w="1417" w:type="dxa"/>
            <w:vAlign w:val="center"/>
          </w:tcPr>
          <w:p w14:paraId="792E1C6D">
            <w:pPr>
              <w:adjustRightInd w:val="0"/>
              <w:snapToGrid w:val="0"/>
              <w:spacing w:line="400" w:lineRule="exact"/>
              <w:jc w:val="center"/>
              <w:rPr>
                <w:rFonts w:hint="eastAsia" w:ascii="宋体" w:hAnsi="宋体" w:cs="宋体"/>
                <w:szCs w:val="21"/>
              </w:rPr>
            </w:pPr>
            <w:r>
              <w:rPr>
                <w:rFonts w:hint="eastAsia" w:ascii="宋体" w:hAnsi="宋体" w:cs="宋体"/>
                <w:szCs w:val="21"/>
              </w:rPr>
              <w:t>评审原则</w:t>
            </w:r>
          </w:p>
        </w:tc>
        <w:tc>
          <w:tcPr>
            <w:tcW w:w="6804" w:type="dxa"/>
            <w:vAlign w:val="center"/>
          </w:tcPr>
          <w:p w14:paraId="790587DE">
            <w:pPr>
              <w:spacing w:line="400" w:lineRule="exact"/>
              <w:ind w:firstLine="420" w:firstLineChars="200"/>
              <w:rPr>
                <w:rFonts w:hint="eastAsia" w:ascii="宋体" w:hAnsi="宋体" w:cs="宋体"/>
                <w:szCs w:val="21"/>
              </w:rPr>
            </w:pPr>
            <w:r>
              <w:rPr>
                <w:rFonts w:hint="eastAsia" w:ascii="宋体" w:hAnsi="宋体" w:cs="宋体"/>
                <w:szCs w:val="21"/>
              </w:rPr>
              <w:t>1.评审原则遵循公平、公正、科学和择优的原则。</w:t>
            </w:r>
          </w:p>
          <w:p w14:paraId="643A3CAB">
            <w:pPr>
              <w:spacing w:line="400" w:lineRule="exact"/>
              <w:ind w:firstLine="420" w:firstLineChars="200"/>
              <w:jc w:val="left"/>
              <w:rPr>
                <w:rFonts w:hint="eastAsia" w:ascii="宋体" w:hAnsi="宋体" w:cs="宋体"/>
                <w:szCs w:val="21"/>
              </w:rPr>
            </w:pPr>
            <w:r>
              <w:rPr>
                <w:rFonts w:hint="eastAsia" w:ascii="宋体" w:hAnsi="宋体" w:cs="宋体"/>
                <w:szCs w:val="21"/>
              </w:rPr>
              <w:t>2.本项目评审的依据为比选文件规定的方法、评审因素和标准。</w:t>
            </w:r>
          </w:p>
        </w:tc>
      </w:tr>
      <w:tr w14:paraId="3A85E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112" w:type="dxa"/>
            <w:vAlign w:val="center"/>
          </w:tcPr>
          <w:p w14:paraId="23D02CE7">
            <w:pPr>
              <w:adjustRightInd w:val="0"/>
              <w:snapToGrid w:val="0"/>
              <w:spacing w:line="400" w:lineRule="exact"/>
              <w:jc w:val="center"/>
              <w:rPr>
                <w:rFonts w:hint="eastAsia" w:ascii="宋体" w:hAnsi="宋体" w:cs="宋体"/>
                <w:szCs w:val="21"/>
              </w:rPr>
            </w:pPr>
            <w:r>
              <w:rPr>
                <w:rFonts w:hint="eastAsia" w:ascii="宋体" w:hAnsi="宋体" w:cs="宋体"/>
                <w:szCs w:val="21"/>
              </w:rPr>
              <w:t>E.19.3</w:t>
            </w:r>
          </w:p>
        </w:tc>
        <w:tc>
          <w:tcPr>
            <w:tcW w:w="1417" w:type="dxa"/>
            <w:vAlign w:val="center"/>
          </w:tcPr>
          <w:p w14:paraId="045750D8">
            <w:pPr>
              <w:adjustRightInd w:val="0"/>
              <w:snapToGrid w:val="0"/>
              <w:spacing w:line="400" w:lineRule="exact"/>
              <w:jc w:val="center"/>
              <w:rPr>
                <w:rFonts w:hint="eastAsia" w:ascii="宋体" w:hAnsi="宋体" w:cs="宋体"/>
                <w:szCs w:val="21"/>
              </w:rPr>
            </w:pPr>
            <w:r>
              <w:rPr>
                <w:rFonts w:hint="eastAsia" w:ascii="宋体" w:hAnsi="宋体" w:cs="宋体"/>
                <w:szCs w:val="21"/>
              </w:rPr>
              <w:t>评审方法</w:t>
            </w:r>
          </w:p>
        </w:tc>
        <w:tc>
          <w:tcPr>
            <w:tcW w:w="6804" w:type="dxa"/>
            <w:vAlign w:val="center"/>
          </w:tcPr>
          <w:p w14:paraId="24C5276B">
            <w:pPr>
              <w:spacing w:line="400" w:lineRule="exact"/>
              <w:ind w:firstLine="420" w:firstLineChars="200"/>
              <w:rPr>
                <w:rFonts w:hint="eastAsia" w:ascii="宋体" w:hAnsi="宋体" w:cs="宋体"/>
                <w:szCs w:val="21"/>
              </w:rPr>
            </w:pPr>
            <w:r>
              <w:rPr>
                <w:rFonts w:hint="eastAsia" w:ascii="宋体" w:hAnsi="宋体" w:cs="宋体"/>
                <w:szCs w:val="21"/>
              </w:rPr>
              <w:t>采用经评审的最低价法。</w:t>
            </w:r>
          </w:p>
        </w:tc>
      </w:tr>
      <w:tr w14:paraId="566F2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112" w:type="dxa"/>
            <w:vAlign w:val="center"/>
          </w:tcPr>
          <w:p w14:paraId="3E4E0FE7">
            <w:pPr>
              <w:adjustRightInd w:val="0"/>
              <w:snapToGrid w:val="0"/>
              <w:spacing w:line="400" w:lineRule="exact"/>
              <w:jc w:val="center"/>
              <w:rPr>
                <w:rFonts w:hint="eastAsia" w:ascii="宋体" w:hAnsi="宋体" w:cs="宋体"/>
                <w:szCs w:val="21"/>
              </w:rPr>
            </w:pPr>
            <w:r>
              <w:rPr>
                <w:rFonts w:hint="eastAsia" w:ascii="宋体" w:hAnsi="宋体" w:cs="宋体"/>
                <w:szCs w:val="21"/>
              </w:rPr>
              <w:t>E.19.4</w:t>
            </w:r>
          </w:p>
        </w:tc>
        <w:tc>
          <w:tcPr>
            <w:tcW w:w="1417" w:type="dxa"/>
            <w:vAlign w:val="center"/>
          </w:tcPr>
          <w:p w14:paraId="53C4D421">
            <w:pPr>
              <w:adjustRightInd w:val="0"/>
              <w:snapToGrid w:val="0"/>
              <w:spacing w:line="400" w:lineRule="exact"/>
              <w:jc w:val="center"/>
              <w:rPr>
                <w:rFonts w:hint="eastAsia" w:ascii="宋体" w:hAnsi="宋体" w:cs="宋体"/>
                <w:szCs w:val="21"/>
              </w:rPr>
            </w:pPr>
            <w:r>
              <w:rPr>
                <w:rFonts w:hint="eastAsia" w:ascii="宋体" w:hAnsi="宋体" w:cs="Arial"/>
                <w:szCs w:val="21"/>
              </w:rPr>
              <w:t>评审标准</w:t>
            </w:r>
          </w:p>
        </w:tc>
        <w:tc>
          <w:tcPr>
            <w:tcW w:w="6804" w:type="dxa"/>
            <w:vAlign w:val="center"/>
          </w:tcPr>
          <w:p w14:paraId="410ACD34">
            <w:pPr>
              <w:spacing w:line="400" w:lineRule="exact"/>
              <w:ind w:firstLine="436" w:firstLineChars="200"/>
              <w:rPr>
                <w:rFonts w:hint="eastAsia" w:ascii="宋体" w:hAnsi="宋体" w:cs="宋体"/>
                <w:szCs w:val="21"/>
              </w:rPr>
            </w:pPr>
            <w:r>
              <w:rPr>
                <w:rFonts w:hint="eastAsia" w:ascii="宋体" w:hAnsi="宋体" w:cs="宋体"/>
                <w:spacing w:val="4"/>
                <w:kern w:val="0"/>
                <w:szCs w:val="21"/>
              </w:rPr>
              <w:t>详见第三章“评审办法”</w:t>
            </w:r>
          </w:p>
        </w:tc>
      </w:tr>
      <w:tr w14:paraId="560DF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333" w:type="dxa"/>
            <w:gridSpan w:val="3"/>
            <w:vAlign w:val="center"/>
          </w:tcPr>
          <w:p w14:paraId="024CC428">
            <w:pPr>
              <w:spacing w:line="400" w:lineRule="exact"/>
              <w:ind w:firstLine="422" w:firstLineChars="200"/>
              <w:jc w:val="center"/>
              <w:rPr>
                <w:rFonts w:hint="eastAsia" w:ascii="宋体" w:hAnsi="宋体" w:cs="宋体"/>
                <w:spacing w:val="4"/>
                <w:kern w:val="0"/>
                <w:szCs w:val="21"/>
              </w:rPr>
            </w:pPr>
            <w:r>
              <w:rPr>
                <w:rFonts w:hint="eastAsia" w:ascii="宋体" w:hAnsi="宋体" w:cs="宋体"/>
                <w:b/>
                <w:szCs w:val="21"/>
              </w:rPr>
              <w:t>F  授  予  合  同</w:t>
            </w:r>
          </w:p>
        </w:tc>
      </w:tr>
      <w:tr w14:paraId="5E43E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jc w:val="center"/>
        </w:trPr>
        <w:tc>
          <w:tcPr>
            <w:tcW w:w="1112" w:type="dxa"/>
            <w:vAlign w:val="center"/>
          </w:tcPr>
          <w:p w14:paraId="7048D4DC">
            <w:pPr>
              <w:adjustRightInd w:val="0"/>
              <w:snapToGrid w:val="0"/>
              <w:spacing w:line="400" w:lineRule="exact"/>
              <w:ind w:left="-115" w:leftChars="-55" w:firstLine="115" w:firstLineChars="55"/>
              <w:jc w:val="center"/>
              <w:rPr>
                <w:rFonts w:hint="eastAsia" w:ascii="宋体" w:hAnsi="宋体" w:cs="宋体"/>
                <w:szCs w:val="21"/>
              </w:rPr>
            </w:pPr>
            <w:r>
              <w:rPr>
                <w:rFonts w:hint="eastAsia" w:ascii="宋体" w:hAnsi="宋体" w:cs="宋体"/>
                <w:szCs w:val="21"/>
              </w:rPr>
              <w:t>F.23.1</w:t>
            </w:r>
          </w:p>
        </w:tc>
        <w:tc>
          <w:tcPr>
            <w:tcW w:w="1417" w:type="dxa"/>
            <w:vAlign w:val="center"/>
          </w:tcPr>
          <w:p w14:paraId="351AFD8C">
            <w:pPr>
              <w:adjustRightInd w:val="0"/>
              <w:snapToGrid w:val="0"/>
              <w:spacing w:line="400" w:lineRule="exact"/>
              <w:jc w:val="center"/>
              <w:rPr>
                <w:rFonts w:hint="eastAsia" w:ascii="宋体" w:hAnsi="宋体" w:cs="宋体"/>
                <w:szCs w:val="21"/>
              </w:rPr>
            </w:pPr>
            <w:r>
              <w:rPr>
                <w:rFonts w:hint="eastAsia" w:ascii="宋体" w:hAnsi="宋体" w:cs="宋体"/>
                <w:szCs w:val="21"/>
              </w:rPr>
              <w:t>推荐中选</w:t>
            </w:r>
          </w:p>
          <w:p w14:paraId="677DC6FD">
            <w:pPr>
              <w:adjustRightInd w:val="0"/>
              <w:snapToGrid w:val="0"/>
              <w:spacing w:line="400" w:lineRule="exact"/>
              <w:jc w:val="center"/>
              <w:rPr>
                <w:rFonts w:hint="eastAsia" w:ascii="宋体" w:hAnsi="宋体" w:cs="宋体"/>
                <w:szCs w:val="21"/>
              </w:rPr>
            </w:pPr>
            <w:r>
              <w:rPr>
                <w:rFonts w:hint="eastAsia" w:ascii="宋体" w:hAnsi="宋体" w:cs="宋体"/>
                <w:szCs w:val="21"/>
              </w:rPr>
              <w:t>候选人</w:t>
            </w:r>
          </w:p>
        </w:tc>
        <w:tc>
          <w:tcPr>
            <w:tcW w:w="6804" w:type="dxa"/>
          </w:tcPr>
          <w:p w14:paraId="5F47BDA9">
            <w:pPr>
              <w:spacing w:line="400" w:lineRule="exact"/>
              <w:ind w:firstLine="420" w:firstLineChars="200"/>
              <w:rPr>
                <w:rFonts w:hint="eastAsia" w:ascii="宋体" w:hAnsi="宋体" w:cs="宋体"/>
                <w:bCs/>
                <w:szCs w:val="21"/>
              </w:rPr>
            </w:pPr>
            <w:r>
              <w:rPr>
                <w:rFonts w:hint="eastAsia" w:ascii="宋体" w:hAnsi="宋体" w:cs="宋体"/>
                <w:szCs w:val="21"/>
              </w:rPr>
              <w:t>评审委员会首先进行初步评审，然后对初步评审合格的供应商进行</w:t>
            </w:r>
            <w:r>
              <w:rPr>
                <w:rFonts w:hint="eastAsia" w:ascii="宋体" w:hAnsi="宋体" w:cs="宋体"/>
                <w:szCs w:val="21"/>
                <w:lang w:val="en-US" w:eastAsia="zh-CN"/>
              </w:rPr>
              <w:t>多</w:t>
            </w:r>
            <w:r>
              <w:rPr>
                <w:rFonts w:hint="eastAsia" w:ascii="宋体" w:hAnsi="宋体" w:cs="宋体"/>
                <w:szCs w:val="21"/>
              </w:rPr>
              <w:t>轮谈判，并对供应商的最后报价进行评审。响应文件满足竞争性比选文件全部实质性要求且最后报价最低的供应商为第一成交候选人，以此类推。按</w:t>
            </w:r>
            <w:r>
              <w:rPr>
                <w:rFonts w:hint="eastAsia" w:ascii="宋体" w:hAnsi="宋体" w:cs="宋体"/>
                <w:kern w:val="0"/>
                <w:szCs w:val="21"/>
              </w:rPr>
              <w:t>得分</w:t>
            </w:r>
            <w:r>
              <w:rPr>
                <w:rFonts w:hint="eastAsia" w:ascii="宋体" w:hAnsi="宋体" w:cs="宋体"/>
                <w:szCs w:val="21"/>
              </w:rPr>
              <w:t>由高到低进行排序，推荐排名前三名的比选供应商为中选候选人；</w:t>
            </w:r>
            <w:r>
              <w:rPr>
                <w:rFonts w:hint="eastAsia" w:ascii="宋体" w:hAnsi="宋体" w:cs="宋体"/>
                <w:kern w:val="0"/>
                <w:szCs w:val="21"/>
              </w:rPr>
              <w:t>评分相等时，由评审委员会</w:t>
            </w:r>
            <w:r>
              <w:rPr>
                <w:rFonts w:hint="eastAsia" w:ascii="宋体" w:hAnsi="宋体"/>
                <w:kern w:val="0"/>
              </w:rPr>
              <w:t>按照</w:t>
            </w:r>
            <w:r>
              <w:rPr>
                <w:rFonts w:hint="eastAsia" w:ascii="宋体" w:hAnsi="宋体"/>
                <w:kern w:val="0"/>
                <w:u w:val="single"/>
              </w:rPr>
              <w:t xml:space="preserve"> 抽签 </w:t>
            </w:r>
            <w:r>
              <w:rPr>
                <w:rFonts w:hint="eastAsia" w:ascii="宋体" w:hAnsi="宋体"/>
                <w:kern w:val="0"/>
              </w:rPr>
              <w:t>原则确定。</w:t>
            </w:r>
          </w:p>
        </w:tc>
      </w:tr>
      <w:tr w14:paraId="73292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2" w:type="dxa"/>
            <w:vAlign w:val="center"/>
          </w:tcPr>
          <w:p w14:paraId="6F55A13D">
            <w:pPr>
              <w:adjustRightInd w:val="0"/>
              <w:snapToGrid w:val="0"/>
              <w:spacing w:line="400" w:lineRule="exact"/>
              <w:jc w:val="center"/>
              <w:rPr>
                <w:rFonts w:hint="eastAsia" w:ascii="宋体" w:hAnsi="宋体" w:cs="宋体"/>
                <w:szCs w:val="21"/>
              </w:rPr>
            </w:pPr>
            <w:r>
              <w:rPr>
                <w:rFonts w:hint="eastAsia" w:ascii="宋体" w:hAnsi="宋体" w:cs="宋体"/>
                <w:szCs w:val="21"/>
              </w:rPr>
              <w:t>F.23.2</w:t>
            </w:r>
          </w:p>
        </w:tc>
        <w:tc>
          <w:tcPr>
            <w:tcW w:w="1417" w:type="dxa"/>
            <w:vAlign w:val="center"/>
          </w:tcPr>
          <w:p w14:paraId="43178497">
            <w:pPr>
              <w:adjustRightInd w:val="0"/>
              <w:snapToGrid w:val="0"/>
              <w:spacing w:line="400" w:lineRule="exact"/>
              <w:jc w:val="center"/>
              <w:rPr>
                <w:rFonts w:hint="eastAsia" w:ascii="宋体" w:hAnsi="宋体" w:cs="宋体"/>
                <w:szCs w:val="21"/>
              </w:rPr>
            </w:pPr>
            <w:r>
              <w:rPr>
                <w:rFonts w:hint="eastAsia" w:ascii="宋体" w:hAnsi="宋体" w:cs="宋体"/>
                <w:szCs w:val="21"/>
              </w:rPr>
              <w:t>评审结果公示</w:t>
            </w:r>
          </w:p>
        </w:tc>
        <w:tc>
          <w:tcPr>
            <w:tcW w:w="6804" w:type="dxa"/>
            <w:vAlign w:val="center"/>
          </w:tcPr>
          <w:p w14:paraId="78467031">
            <w:pPr>
              <w:snapToGrid w:val="0"/>
              <w:spacing w:line="400" w:lineRule="exact"/>
              <w:ind w:firstLine="422" w:firstLineChars="200"/>
              <w:jc w:val="left"/>
              <w:rPr>
                <w:rFonts w:hint="eastAsia" w:ascii="宋体" w:hAnsi="宋体" w:cs="宋体"/>
                <w:b/>
                <w:szCs w:val="21"/>
              </w:rPr>
            </w:pPr>
            <w:r>
              <w:rPr>
                <w:rFonts w:hint="eastAsia" w:ascii="宋体" w:hAnsi="宋体" w:cs="宋体"/>
                <w:b/>
                <w:szCs w:val="21"/>
              </w:rPr>
              <w:t>中选结果公示</w:t>
            </w:r>
          </w:p>
          <w:p w14:paraId="414AF1C0">
            <w:pPr>
              <w:snapToGrid w:val="0"/>
              <w:spacing w:line="400" w:lineRule="exact"/>
              <w:ind w:firstLine="420" w:firstLineChars="200"/>
              <w:jc w:val="left"/>
            </w:pPr>
            <w:r>
              <w:rPr>
                <w:rFonts w:hint="eastAsia" w:ascii="宋体" w:hAnsi="宋体" w:cs="宋体"/>
                <w:szCs w:val="21"/>
              </w:rPr>
              <w:t>比选人在收到评审委员会提出的书面评审报告后，将</w:t>
            </w:r>
            <w:r>
              <w:rPr>
                <w:rFonts w:hint="eastAsia" w:ascii="宋体" w:hAnsi="宋体"/>
                <w:kern w:val="0"/>
                <w:szCs w:val="21"/>
              </w:rPr>
              <w:t>在</w:t>
            </w:r>
            <w:r>
              <w:rPr>
                <w:rFonts w:hint="eastAsia" w:ascii="宋体" w:hAnsi="宋体" w:cs="宋体"/>
                <w:szCs w:val="21"/>
              </w:rPr>
              <w:t>行采家（https://www.gec123.com）及重庆理工职业学院官网校企合作一体化招标采购平台（http://www.cqip.com.cn/html/15/Index.shtml）网</w:t>
            </w:r>
            <w:r>
              <w:rPr>
                <w:rFonts w:hint="eastAsia" w:ascii="宋体" w:hAnsi="宋体"/>
                <w:kern w:val="0"/>
                <w:szCs w:val="21"/>
              </w:rPr>
              <w:t>上结果公示，</w:t>
            </w:r>
            <w:r>
              <w:rPr>
                <w:rFonts w:hint="eastAsia" w:ascii="宋体" w:hAnsi="宋体" w:cs="宋体"/>
                <w:szCs w:val="21"/>
              </w:rPr>
              <w:t>并由</w:t>
            </w:r>
            <w:r>
              <w:rPr>
                <w:rFonts w:hint="eastAsia" w:ascii="宋体" w:hAnsi="宋体"/>
                <w:szCs w:val="21"/>
              </w:rPr>
              <w:t>比选人自行或委托比选代理机构依法依规发出中选通知书。</w:t>
            </w:r>
            <w:r>
              <w:rPr>
                <w:rFonts w:hint="eastAsia" w:ascii="宋体" w:hAnsi="宋体" w:cs="宋体"/>
                <w:szCs w:val="21"/>
              </w:rPr>
              <w:t>请各比选供应商自行查询。</w:t>
            </w:r>
          </w:p>
        </w:tc>
      </w:tr>
      <w:tr w14:paraId="744BB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2" w:type="dxa"/>
            <w:vAlign w:val="center"/>
          </w:tcPr>
          <w:p w14:paraId="0CBA78E0">
            <w:pPr>
              <w:adjustRightInd w:val="0"/>
              <w:snapToGrid w:val="0"/>
              <w:spacing w:line="400" w:lineRule="exact"/>
              <w:jc w:val="center"/>
              <w:rPr>
                <w:rFonts w:hint="eastAsia" w:ascii="宋体" w:hAnsi="宋体" w:cs="宋体"/>
                <w:szCs w:val="21"/>
              </w:rPr>
            </w:pPr>
            <w:r>
              <w:rPr>
                <w:rFonts w:hint="eastAsia" w:ascii="宋体" w:hAnsi="宋体" w:cs="宋体"/>
                <w:szCs w:val="21"/>
              </w:rPr>
              <w:t>F.23.3</w:t>
            </w:r>
          </w:p>
        </w:tc>
        <w:tc>
          <w:tcPr>
            <w:tcW w:w="1417" w:type="dxa"/>
            <w:vAlign w:val="center"/>
          </w:tcPr>
          <w:p w14:paraId="68BBF354">
            <w:pPr>
              <w:adjustRightInd w:val="0"/>
              <w:snapToGrid w:val="0"/>
              <w:spacing w:line="400" w:lineRule="exact"/>
              <w:jc w:val="center"/>
              <w:rPr>
                <w:rFonts w:hint="eastAsia" w:ascii="宋体" w:hAnsi="宋体" w:cs="宋体"/>
                <w:szCs w:val="21"/>
              </w:rPr>
            </w:pPr>
            <w:r>
              <w:rPr>
                <w:rFonts w:hint="eastAsia" w:ascii="宋体" w:hAnsi="宋体" w:cs="宋体"/>
                <w:szCs w:val="21"/>
              </w:rPr>
              <w:t>确定中选人</w:t>
            </w:r>
          </w:p>
        </w:tc>
        <w:tc>
          <w:tcPr>
            <w:tcW w:w="6804" w:type="dxa"/>
            <w:vAlign w:val="center"/>
          </w:tcPr>
          <w:p w14:paraId="0D72C213">
            <w:pPr>
              <w:spacing w:line="400" w:lineRule="exact"/>
              <w:ind w:firstLine="420" w:firstLineChars="200"/>
              <w:rPr>
                <w:rFonts w:hint="eastAsia" w:ascii="宋体" w:hAnsi="宋体" w:cs="宋体"/>
                <w:szCs w:val="21"/>
              </w:rPr>
            </w:pPr>
            <w:r>
              <w:rPr>
                <w:rFonts w:hint="eastAsia" w:ascii="宋体" w:hAnsi="宋体" w:cs="宋体"/>
                <w:szCs w:val="21"/>
              </w:rPr>
              <w:t>1.比选人确定排名第一的中选候选人为中选人。</w:t>
            </w:r>
          </w:p>
          <w:p w14:paraId="068BFD3E">
            <w:pPr>
              <w:snapToGrid w:val="0"/>
              <w:spacing w:line="400" w:lineRule="exact"/>
              <w:ind w:firstLine="428" w:firstLineChars="204"/>
              <w:jc w:val="left"/>
              <w:rPr>
                <w:rFonts w:hint="eastAsia" w:ascii="宋体" w:hAnsi="宋体" w:cs="宋体"/>
                <w:szCs w:val="21"/>
              </w:rPr>
            </w:pPr>
            <w:r>
              <w:rPr>
                <w:rFonts w:hint="eastAsia" w:ascii="宋体" w:hAnsi="宋体" w:cs="宋体"/>
                <w:szCs w:val="21"/>
              </w:rPr>
              <w:t>2.排名第一的中选人放弃中标、因不可抗力不能签订合同、不按照比选文件要求提交履约保证金，或者被查实存在影响中选结果的违法行为等情形，不符合中选条件的，比选人可以按照评审委员会提出的中选候选人名单排序依次确定其他中选候选人为中选人。</w:t>
            </w:r>
          </w:p>
          <w:p w14:paraId="437ED8B0">
            <w:pPr>
              <w:spacing w:line="400" w:lineRule="exact"/>
              <w:ind w:firstLine="420" w:firstLineChars="200"/>
            </w:pPr>
            <w:r>
              <w:t>3.</w:t>
            </w:r>
            <w:r>
              <w:rPr>
                <w:rFonts w:hint="eastAsia"/>
              </w:rPr>
              <w:t>是否授权评审委员会确定中选人</w:t>
            </w:r>
            <w:r>
              <w:t>：</w:t>
            </w:r>
            <w:r>
              <w:rPr>
                <w:rFonts w:hint="eastAsia"/>
              </w:rPr>
              <w:t>否。</w:t>
            </w:r>
          </w:p>
        </w:tc>
      </w:tr>
      <w:tr w14:paraId="65BCB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12" w:type="dxa"/>
            <w:vAlign w:val="center"/>
          </w:tcPr>
          <w:p w14:paraId="1779EAC3">
            <w:pPr>
              <w:adjustRightInd w:val="0"/>
              <w:snapToGrid w:val="0"/>
              <w:spacing w:line="400" w:lineRule="exact"/>
              <w:jc w:val="center"/>
              <w:rPr>
                <w:rFonts w:hint="eastAsia" w:ascii="宋体" w:hAnsi="宋体" w:cs="宋体"/>
                <w:szCs w:val="21"/>
              </w:rPr>
            </w:pPr>
            <w:r>
              <w:rPr>
                <w:rFonts w:hint="eastAsia" w:ascii="宋体" w:hAnsi="宋体" w:cs="宋体"/>
                <w:szCs w:val="21"/>
              </w:rPr>
              <w:t>F.24</w:t>
            </w:r>
          </w:p>
        </w:tc>
        <w:tc>
          <w:tcPr>
            <w:tcW w:w="1417" w:type="dxa"/>
            <w:vAlign w:val="center"/>
          </w:tcPr>
          <w:p w14:paraId="3B2FE806">
            <w:pPr>
              <w:adjustRightInd w:val="0"/>
              <w:snapToGrid w:val="0"/>
              <w:spacing w:line="400" w:lineRule="exact"/>
              <w:jc w:val="center"/>
              <w:rPr>
                <w:rFonts w:hint="eastAsia" w:ascii="宋体" w:hAnsi="宋体" w:cs="宋体"/>
                <w:szCs w:val="21"/>
              </w:rPr>
            </w:pPr>
            <w:r>
              <w:rPr>
                <w:rFonts w:hint="eastAsia" w:ascii="宋体" w:hAnsi="宋体" w:cs="宋体"/>
                <w:szCs w:val="21"/>
              </w:rPr>
              <w:t>合同签订</w:t>
            </w:r>
          </w:p>
        </w:tc>
        <w:tc>
          <w:tcPr>
            <w:tcW w:w="6804" w:type="dxa"/>
            <w:vAlign w:val="center"/>
          </w:tcPr>
          <w:p w14:paraId="37E4F5F6">
            <w:pPr>
              <w:widowControl/>
              <w:spacing w:line="400" w:lineRule="exact"/>
              <w:ind w:firstLine="420"/>
              <w:jc w:val="left"/>
              <w:rPr>
                <w:rFonts w:hint="eastAsia" w:ascii="宋体" w:hAnsi="宋体" w:cs="宋体"/>
                <w:szCs w:val="21"/>
              </w:rPr>
            </w:pPr>
            <w:r>
              <w:rPr>
                <w:rFonts w:hint="eastAsia" w:ascii="宋体" w:hAnsi="宋体" w:cs="宋体"/>
                <w:szCs w:val="21"/>
              </w:rPr>
              <w:t>中选人与比选人依法签订合同。</w:t>
            </w:r>
          </w:p>
        </w:tc>
      </w:tr>
      <w:tr w14:paraId="42F19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2" w:type="dxa"/>
            <w:vAlign w:val="center"/>
          </w:tcPr>
          <w:p w14:paraId="1404DA27">
            <w:pPr>
              <w:adjustRightInd w:val="0"/>
              <w:snapToGrid w:val="0"/>
              <w:spacing w:line="400" w:lineRule="exact"/>
              <w:jc w:val="center"/>
              <w:rPr>
                <w:rFonts w:hint="eastAsia" w:ascii="宋体" w:hAnsi="宋体" w:cs="宋体"/>
                <w:szCs w:val="21"/>
              </w:rPr>
            </w:pPr>
            <w:r>
              <w:rPr>
                <w:rFonts w:hint="eastAsia" w:ascii="宋体" w:hAnsi="宋体" w:cs="宋体"/>
                <w:szCs w:val="21"/>
              </w:rPr>
              <w:t>F.25</w:t>
            </w:r>
          </w:p>
        </w:tc>
        <w:tc>
          <w:tcPr>
            <w:tcW w:w="1417" w:type="dxa"/>
            <w:vAlign w:val="center"/>
          </w:tcPr>
          <w:p w14:paraId="1931CAD5">
            <w:pPr>
              <w:adjustRightInd w:val="0"/>
              <w:snapToGrid w:val="0"/>
              <w:spacing w:line="400" w:lineRule="exact"/>
              <w:jc w:val="center"/>
              <w:rPr>
                <w:rFonts w:hint="eastAsia" w:ascii="宋体" w:hAnsi="宋体" w:cs="宋体"/>
                <w:szCs w:val="21"/>
              </w:rPr>
            </w:pPr>
            <w:r>
              <w:rPr>
                <w:rFonts w:hint="eastAsia" w:ascii="宋体" w:hAnsi="宋体" w:cs="宋体"/>
                <w:szCs w:val="21"/>
              </w:rPr>
              <w:t>履约担保</w:t>
            </w:r>
          </w:p>
        </w:tc>
        <w:tc>
          <w:tcPr>
            <w:tcW w:w="6804" w:type="dxa"/>
            <w:vAlign w:val="center"/>
          </w:tcPr>
          <w:p w14:paraId="7FC4FB82">
            <w:pPr>
              <w:wordWrap w:val="0"/>
              <w:topLinePunct/>
              <w:snapToGrid w:val="0"/>
              <w:spacing w:line="400" w:lineRule="exact"/>
              <w:ind w:firstLine="560" w:firstLineChars="200"/>
              <w:rPr>
                <w:rFonts w:hint="eastAsia" w:ascii="宋体" w:eastAsia="宋体"/>
                <w:sz w:val="28"/>
                <w:szCs w:val="20"/>
                <w:lang w:val="en-US" w:eastAsia="zh-CN"/>
              </w:rPr>
            </w:pPr>
            <w:r>
              <w:rPr>
                <w:rFonts w:hint="eastAsia" w:ascii="宋体"/>
                <w:sz w:val="28"/>
                <w:szCs w:val="20"/>
                <w:lang w:val="en-US" w:eastAsia="zh-CN"/>
              </w:rPr>
              <w:t>/</w:t>
            </w:r>
          </w:p>
        </w:tc>
      </w:tr>
      <w:tr w14:paraId="31B92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2" w:type="dxa"/>
            <w:vAlign w:val="center"/>
          </w:tcPr>
          <w:p w14:paraId="4921B25E">
            <w:pPr>
              <w:adjustRightInd w:val="0"/>
              <w:snapToGrid w:val="0"/>
              <w:spacing w:line="400" w:lineRule="exact"/>
              <w:jc w:val="center"/>
              <w:rPr>
                <w:rFonts w:hint="eastAsia" w:ascii="宋体" w:hAnsi="宋体" w:cs="宋体"/>
                <w:szCs w:val="21"/>
              </w:rPr>
            </w:pPr>
            <w:r>
              <w:rPr>
                <w:rFonts w:hint="eastAsia" w:ascii="宋体" w:hAnsi="宋体" w:cs="宋体"/>
                <w:szCs w:val="21"/>
              </w:rPr>
              <w:t>F.26.1</w:t>
            </w:r>
          </w:p>
        </w:tc>
        <w:tc>
          <w:tcPr>
            <w:tcW w:w="1417" w:type="dxa"/>
            <w:vAlign w:val="center"/>
          </w:tcPr>
          <w:p w14:paraId="2CC4986A">
            <w:pPr>
              <w:adjustRightInd w:val="0"/>
              <w:snapToGrid w:val="0"/>
              <w:spacing w:line="400" w:lineRule="exact"/>
              <w:jc w:val="center"/>
              <w:rPr>
                <w:rFonts w:hint="eastAsia" w:ascii="宋体" w:hAnsi="宋体" w:cs="宋体"/>
                <w:szCs w:val="21"/>
              </w:rPr>
            </w:pPr>
            <w:r>
              <w:rPr>
                <w:rFonts w:hint="eastAsia" w:ascii="宋体" w:hAnsi="宋体" w:cs="宋体"/>
                <w:szCs w:val="21"/>
              </w:rPr>
              <w:t>重新比选</w:t>
            </w:r>
          </w:p>
        </w:tc>
        <w:tc>
          <w:tcPr>
            <w:tcW w:w="6804" w:type="dxa"/>
            <w:vAlign w:val="center"/>
          </w:tcPr>
          <w:p w14:paraId="0D17F34D">
            <w:pPr>
              <w:tabs>
                <w:tab w:val="left" w:pos="1050"/>
                <w:tab w:val="left" w:pos="1470"/>
              </w:tabs>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1.比选截止时间止，比选供应商少于3个的；</w:t>
            </w:r>
          </w:p>
          <w:p w14:paraId="6ADD8DD0">
            <w:pPr>
              <w:tabs>
                <w:tab w:val="left" w:pos="1050"/>
                <w:tab w:val="left" w:pos="1470"/>
              </w:tabs>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2.经评审委员会评审后否决所有比选供应商的；</w:t>
            </w:r>
          </w:p>
          <w:p w14:paraId="50965148">
            <w:pPr>
              <w:tabs>
                <w:tab w:val="left" w:pos="1050"/>
                <w:tab w:val="left" w:pos="1470"/>
              </w:tabs>
              <w:adjustRightInd w:val="0"/>
              <w:snapToGrid w:val="0"/>
              <w:spacing w:line="400" w:lineRule="exact"/>
              <w:ind w:firstLine="420" w:firstLineChars="200"/>
              <w:rPr>
                <w:rFonts w:hint="eastAsia" w:ascii="宋体" w:hAnsi="宋体" w:cs="宋体"/>
                <w:sz w:val="28"/>
                <w:szCs w:val="21"/>
              </w:rPr>
            </w:pPr>
            <w:r>
              <w:rPr>
                <w:rFonts w:hint="eastAsia" w:ascii="宋体" w:hAnsi="宋体" w:cs="宋体"/>
                <w:szCs w:val="21"/>
              </w:rPr>
              <w:t>3.经评审委员会初步评审后，有效比选供应商</w:t>
            </w:r>
            <w:r>
              <w:rPr>
                <w:rFonts w:hint="eastAsia" w:ascii="宋体" w:hAnsi="宋体" w:cs="宋体"/>
                <w:snapToGrid w:val="0"/>
                <w:kern w:val="0"/>
                <w:szCs w:val="21"/>
              </w:rPr>
              <w:t>不足3家的，评审委员会可以全部否决，但是有效</w:t>
            </w:r>
            <w:r>
              <w:rPr>
                <w:rFonts w:hint="eastAsia" w:ascii="宋体" w:hAnsi="宋体" w:cs="宋体"/>
                <w:szCs w:val="21"/>
              </w:rPr>
              <w:t>比选供应商</w:t>
            </w:r>
            <w:r>
              <w:rPr>
                <w:rFonts w:hint="eastAsia" w:ascii="宋体" w:hAnsi="宋体" w:cs="宋体"/>
                <w:snapToGrid w:val="0"/>
                <w:kern w:val="0"/>
                <w:szCs w:val="21"/>
              </w:rPr>
              <w:t>的经济、技术等指标仍然具有市场竞争，能够满足比选文件要求的，评标委员会可以继续评审并确定中选候选人，否则比选人将重新组织比选。</w:t>
            </w:r>
          </w:p>
        </w:tc>
      </w:tr>
      <w:tr w14:paraId="2A941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2" w:type="dxa"/>
            <w:vAlign w:val="center"/>
          </w:tcPr>
          <w:p w14:paraId="2709B311">
            <w:pPr>
              <w:adjustRightInd w:val="0"/>
              <w:snapToGrid w:val="0"/>
              <w:spacing w:line="400" w:lineRule="exact"/>
              <w:jc w:val="center"/>
              <w:rPr>
                <w:rFonts w:hint="eastAsia" w:ascii="宋体" w:hAnsi="宋体" w:cs="宋体"/>
                <w:szCs w:val="21"/>
              </w:rPr>
            </w:pPr>
            <w:r>
              <w:rPr>
                <w:rFonts w:hint="eastAsia" w:ascii="宋体" w:hAnsi="宋体" w:cs="宋体"/>
                <w:szCs w:val="21"/>
              </w:rPr>
              <w:t>F.2</w:t>
            </w:r>
            <w:r>
              <w:rPr>
                <w:rFonts w:ascii="宋体" w:hAnsi="宋体" w:cs="宋体"/>
                <w:szCs w:val="21"/>
              </w:rPr>
              <w:t>6</w:t>
            </w:r>
            <w:r>
              <w:rPr>
                <w:rFonts w:hint="eastAsia" w:ascii="宋体" w:hAnsi="宋体" w:cs="宋体"/>
                <w:szCs w:val="21"/>
              </w:rPr>
              <w:t>.3</w:t>
            </w:r>
          </w:p>
        </w:tc>
        <w:tc>
          <w:tcPr>
            <w:tcW w:w="1417" w:type="dxa"/>
            <w:vAlign w:val="center"/>
          </w:tcPr>
          <w:p w14:paraId="3A27489A">
            <w:pPr>
              <w:adjustRightInd w:val="0"/>
              <w:snapToGrid w:val="0"/>
              <w:spacing w:line="400" w:lineRule="exact"/>
              <w:jc w:val="center"/>
              <w:rPr>
                <w:rFonts w:hint="eastAsia" w:ascii="宋体" w:hAnsi="宋体" w:cs="宋体"/>
                <w:szCs w:val="21"/>
              </w:rPr>
            </w:pPr>
            <w:r>
              <w:rPr>
                <w:rFonts w:hint="eastAsia" w:ascii="宋体" w:hAnsi="宋体" w:cs="宋体"/>
                <w:szCs w:val="21"/>
              </w:rPr>
              <w:t>取消中选资格的情形</w:t>
            </w:r>
          </w:p>
        </w:tc>
        <w:tc>
          <w:tcPr>
            <w:tcW w:w="6804" w:type="dxa"/>
            <w:vAlign w:val="center"/>
          </w:tcPr>
          <w:p w14:paraId="101902FB">
            <w:pPr>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若中选人放弃中选项目，无正当理由拒签合同，在签订合同时向比选人提出附加条件，或者不按照比选文件要求提交履约保证金，或比选供应商提供虚假资料，以弄虚作假的方式骗取中选，或出现法律法规或本比选文件中规定的比选人有权取消中选人中选资格的其他情形，经比选人核实，将取消其中选资格，比选保证金不予退还。</w:t>
            </w:r>
          </w:p>
        </w:tc>
      </w:tr>
      <w:tr w14:paraId="59B0A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2" w:type="dxa"/>
            <w:vAlign w:val="center"/>
          </w:tcPr>
          <w:p w14:paraId="0D893A23">
            <w:pPr>
              <w:adjustRightInd w:val="0"/>
              <w:snapToGrid w:val="0"/>
              <w:spacing w:line="400" w:lineRule="exact"/>
              <w:jc w:val="center"/>
              <w:rPr>
                <w:rFonts w:hint="eastAsia" w:ascii="宋体" w:hAnsi="宋体" w:cs="宋体"/>
                <w:szCs w:val="21"/>
              </w:rPr>
            </w:pPr>
            <w:r>
              <w:rPr>
                <w:rFonts w:hint="eastAsia" w:ascii="宋体" w:hAnsi="宋体" w:cs="宋体"/>
                <w:szCs w:val="21"/>
              </w:rPr>
              <w:t>F.2</w:t>
            </w:r>
            <w:r>
              <w:rPr>
                <w:rFonts w:ascii="宋体" w:hAnsi="宋体" w:cs="宋体"/>
                <w:szCs w:val="21"/>
              </w:rPr>
              <w:t>7</w:t>
            </w:r>
            <w:r>
              <w:rPr>
                <w:rFonts w:hint="eastAsia" w:ascii="宋体" w:hAnsi="宋体" w:cs="宋体"/>
                <w:szCs w:val="21"/>
              </w:rPr>
              <w:t>.5</w:t>
            </w:r>
          </w:p>
        </w:tc>
        <w:tc>
          <w:tcPr>
            <w:tcW w:w="1417" w:type="dxa"/>
            <w:vAlign w:val="center"/>
          </w:tcPr>
          <w:p w14:paraId="64880DA1">
            <w:pPr>
              <w:adjustRightInd w:val="0"/>
              <w:snapToGrid w:val="0"/>
              <w:spacing w:line="400" w:lineRule="exact"/>
              <w:jc w:val="center"/>
              <w:rPr>
                <w:rFonts w:hint="eastAsia" w:ascii="宋体" w:hAnsi="宋体" w:cs="宋体"/>
                <w:szCs w:val="21"/>
              </w:rPr>
            </w:pPr>
            <w:r>
              <w:rPr>
                <w:rFonts w:hint="eastAsia" w:ascii="宋体" w:hAnsi="宋体" w:cs="宋体"/>
                <w:szCs w:val="21"/>
              </w:rPr>
              <w:t>异议、投诉</w:t>
            </w:r>
          </w:p>
          <w:p w14:paraId="527FCD2D">
            <w:pPr>
              <w:adjustRightInd w:val="0"/>
              <w:snapToGrid w:val="0"/>
              <w:spacing w:line="400" w:lineRule="exact"/>
              <w:jc w:val="center"/>
              <w:rPr>
                <w:rFonts w:hint="eastAsia" w:ascii="宋体" w:hAnsi="宋体" w:cs="宋体"/>
                <w:szCs w:val="21"/>
              </w:rPr>
            </w:pPr>
            <w:r>
              <w:rPr>
                <w:rFonts w:hint="eastAsia" w:ascii="宋体" w:hAnsi="宋体" w:cs="宋体"/>
                <w:szCs w:val="21"/>
              </w:rPr>
              <w:t>处理</w:t>
            </w:r>
          </w:p>
        </w:tc>
        <w:tc>
          <w:tcPr>
            <w:tcW w:w="6804" w:type="dxa"/>
            <w:vAlign w:val="center"/>
          </w:tcPr>
          <w:p w14:paraId="0BEF2293">
            <w:pPr>
              <w:widowControl/>
              <w:spacing w:line="400" w:lineRule="exact"/>
              <w:ind w:firstLine="420" w:firstLineChars="200"/>
              <w:rPr>
                <w:rFonts w:hint="eastAsia" w:ascii="宋体" w:hAnsi="宋体" w:cs="宋体"/>
                <w:kern w:val="0"/>
                <w:szCs w:val="21"/>
              </w:rPr>
            </w:pPr>
            <w:r>
              <w:rPr>
                <w:rFonts w:hint="eastAsia" w:ascii="宋体" w:hAnsi="宋体" w:cs="宋体"/>
                <w:kern w:val="0"/>
                <w:szCs w:val="21"/>
              </w:rPr>
              <w:t>1.比选供应商或者其他利害关系人就本项目的比选结果等事项提出投诉的，应当先向比选人提出异议；比选人应当在规定时间内答复；对比选人的答复不满意，可向监督部门投诉。</w:t>
            </w:r>
          </w:p>
          <w:p w14:paraId="700E121A">
            <w:pPr>
              <w:widowControl/>
              <w:spacing w:line="400" w:lineRule="exact"/>
              <w:ind w:firstLine="420" w:firstLineChars="200"/>
              <w:rPr>
                <w:rFonts w:hint="eastAsia" w:ascii="宋体" w:hAnsi="宋体" w:cs="宋体"/>
                <w:kern w:val="0"/>
                <w:szCs w:val="21"/>
              </w:rPr>
            </w:pPr>
            <w:r>
              <w:rPr>
                <w:rFonts w:hint="eastAsia" w:ascii="宋体" w:hAnsi="宋体" w:cs="宋体"/>
                <w:kern w:val="0"/>
                <w:szCs w:val="21"/>
              </w:rPr>
              <w:t>提出异议或投诉时应当包括下列内容，并提供必要的证明材料：</w:t>
            </w:r>
          </w:p>
          <w:p w14:paraId="66D97231">
            <w:pPr>
              <w:widowControl/>
              <w:spacing w:line="400" w:lineRule="exact"/>
              <w:ind w:firstLine="420" w:firstLineChars="200"/>
              <w:rPr>
                <w:rFonts w:hint="eastAsia" w:ascii="宋体" w:hAnsi="宋体" w:cs="宋体"/>
                <w:kern w:val="0"/>
                <w:szCs w:val="21"/>
              </w:rPr>
            </w:pPr>
            <w:r>
              <w:rPr>
                <w:rFonts w:hint="eastAsia" w:ascii="宋体" w:hAnsi="宋体" w:cs="宋体"/>
                <w:kern w:val="0"/>
                <w:szCs w:val="21"/>
              </w:rPr>
              <w:t>（1）异议人或投诉人的姓名或者名称、地址、邮编、联系人及联系电话；</w:t>
            </w:r>
          </w:p>
          <w:p w14:paraId="3EFEC0A8">
            <w:pPr>
              <w:widowControl/>
              <w:spacing w:line="400" w:lineRule="exact"/>
              <w:ind w:firstLine="420" w:firstLineChars="200"/>
              <w:rPr>
                <w:rFonts w:hint="eastAsia" w:ascii="宋体" w:hAnsi="宋体" w:cs="宋体"/>
                <w:kern w:val="0"/>
                <w:szCs w:val="21"/>
              </w:rPr>
            </w:pPr>
            <w:r>
              <w:rPr>
                <w:rFonts w:hint="eastAsia" w:ascii="宋体" w:hAnsi="宋体" w:cs="宋体"/>
                <w:kern w:val="0"/>
                <w:szCs w:val="21"/>
              </w:rPr>
              <w:t>（2）质疑或投诉项目的名称、编号；</w:t>
            </w:r>
          </w:p>
          <w:p w14:paraId="4E31B45D">
            <w:pPr>
              <w:widowControl/>
              <w:spacing w:line="400" w:lineRule="exact"/>
              <w:ind w:firstLine="420" w:firstLineChars="200"/>
              <w:rPr>
                <w:rFonts w:hint="eastAsia" w:ascii="宋体" w:hAnsi="宋体" w:cs="宋体"/>
                <w:kern w:val="0"/>
                <w:szCs w:val="21"/>
              </w:rPr>
            </w:pPr>
            <w:r>
              <w:rPr>
                <w:rFonts w:hint="eastAsia" w:ascii="宋体" w:hAnsi="宋体" w:cs="宋体"/>
                <w:kern w:val="0"/>
                <w:szCs w:val="21"/>
              </w:rPr>
              <w:t>（3）具体、明确的异议或投诉事项和与异议或投诉事项相关的请求；</w:t>
            </w:r>
          </w:p>
          <w:p w14:paraId="63E12AA0">
            <w:pPr>
              <w:widowControl/>
              <w:spacing w:line="400" w:lineRule="exact"/>
              <w:ind w:firstLine="420" w:firstLineChars="200"/>
              <w:rPr>
                <w:rFonts w:hint="eastAsia" w:ascii="宋体" w:hAnsi="宋体" w:cs="宋体"/>
                <w:kern w:val="0"/>
                <w:szCs w:val="21"/>
              </w:rPr>
            </w:pPr>
            <w:r>
              <w:rPr>
                <w:rFonts w:hint="eastAsia" w:ascii="宋体" w:hAnsi="宋体" w:cs="宋体"/>
                <w:kern w:val="0"/>
                <w:szCs w:val="21"/>
              </w:rPr>
              <w:t>（4）事实依据和法律依据；</w:t>
            </w:r>
          </w:p>
          <w:p w14:paraId="502D29F8">
            <w:pPr>
              <w:widowControl/>
              <w:spacing w:line="400" w:lineRule="exact"/>
              <w:ind w:firstLine="420" w:firstLineChars="200"/>
              <w:rPr>
                <w:rFonts w:hint="eastAsia" w:ascii="宋体" w:hAnsi="宋体" w:cs="宋体"/>
                <w:kern w:val="0"/>
                <w:szCs w:val="21"/>
              </w:rPr>
            </w:pPr>
            <w:r>
              <w:rPr>
                <w:rFonts w:hint="eastAsia" w:ascii="宋体" w:hAnsi="宋体" w:cs="宋体"/>
                <w:kern w:val="0"/>
                <w:szCs w:val="21"/>
              </w:rPr>
              <w:t>（5）提出异议或投诉的日期。</w:t>
            </w:r>
          </w:p>
          <w:p w14:paraId="6FAFF3DF">
            <w:pPr>
              <w:widowControl/>
              <w:spacing w:line="400" w:lineRule="exact"/>
              <w:ind w:firstLine="420" w:firstLineChars="200"/>
              <w:rPr>
                <w:rFonts w:hint="eastAsia" w:ascii="宋体" w:hAnsi="宋体" w:cs="宋体"/>
                <w:kern w:val="0"/>
                <w:szCs w:val="21"/>
              </w:rPr>
            </w:pPr>
            <w:r>
              <w:rPr>
                <w:rFonts w:hint="eastAsia" w:ascii="宋体" w:hAnsi="宋体" w:cs="宋体"/>
                <w:kern w:val="0"/>
                <w:szCs w:val="21"/>
              </w:rPr>
              <w:t>异议人或投诉人是法人的，异议书或投诉书必须由其法定代表人</w:t>
            </w:r>
            <w:r>
              <w:rPr>
                <w:rFonts w:hint="eastAsia" w:hAnsi="宋体" w:cs="宋体"/>
                <w:szCs w:val="21"/>
              </w:rPr>
              <w:t>（或单位负责人）</w:t>
            </w:r>
            <w:r>
              <w:rPr>
                <w:rFonts w:hint="eastAsia" w:ascii="宋体" w:hAnsi="宋体" w:cs="宋体"/>
                <w:kern w:val="0"/>
                <w:szCs w:val="21"/>
              </w:rPr>
              <w:t>或者委托代理人签名并加盖鲜公章；异议人或投诉人是其他组织或者自然人的，异议书或投诉书必须由其主要负责人签名或者异议人（或投诉人）本人签名，并附有效身份证明复印件。如有关材料是外文，应当同时提供中文译本。</w:t>
            </w:r>
          </w:p>
          <w:p w14:paraId="4C2B979D">
            <w:pPr>
              <w:snapToGrid w:val="0"/>
              <w:spacing w:line="400" w:lineRule="exact"/>
              <w:ind w:firstLine="420" w:firstLineChars="200"/>
              <w:rPr>
                <w:rFonts w:hint="eastAsia" w:ascii="宋体" w:hAnsi="宋体" w:cs="宋体"/>
                <w:kern w:val="0"/>
                <w:szCs w:val="21"/>
              </w:rPr>
            </w:pPr>
            <w:r>
              <w:rPr>
                <w:rFonts w:hint="eastAsia" w:ascii="宋体" w:hAnsi="宋体" w:cs="宋体"/>
                <w:kern w:val="0"/>
                <w:szCs w:val="21"/>
              </w:rPr>
              <w:t>2.比选供应商</w:t>
            </w:r>
            <w:r>
              <w:rPr>
                <w:rFonts w:hint="eastAsia" w:ascii="宋体" w:hAnsi="宋体" w:cs="宋体"/>
                <w:szCs w:val="21"/>
              </w:rPr>
              <w:t>在提出异议、投诉或相关案件查办中存在</w:t>
            </w:r>
            <w:r>
              <w:rPr>
                <w:rFonts w:ascii="宋体" w:hAnsi="宋体" w:cs="宋体"/>
                <w:szCs w:val="21"/>
              </w:rPr>
              <w:t>捏造事实、</w:t>
            </w:r>
            <w:r>
              <w:rPr>
                <w:rFonts w:hint="eastAsia" w:ascii="宋体" w:hAnsi="宋体" w:cs="宋体"/>
                <w:szCs w:val="21"/>
              </w:rPr>
              <w:t>提供虚假材料的、</w:t>
            </w:r>
            <w:r>
              <w:rPr>
                <w:rFonts w:ascii="宋体" w:hAnsi="宋体" w:cs="宋体"/>
                <w:szCs w:val="21"/>
              </w:rPr>
              <w:t>以非法手段获取证明材料</w:t>
            </w:r>
            <w:r>
              <w:rPr>
                <w:rFonts w:hint="eastAsia" w:ascii="宋体" w:hAnsi="宋体" w:cs="宋体"/>
                <w:szCs w:val="21"/>
              </w:rPr>
              <w:t>的，或拒不配合有关调查、情节严重的，或一年三次越级质疑且查无实据的</w:t>
            </w:r>
            <w:r>
              <w:rPr>
                <w:rFonts w:hint="eastAsia" w:ascii="宋体" w:hAnsi="宋体" w:cs="宋体"/>
                <w:kern w:val="0"/>
                <w:szCs w:val="21"/>
              </w:rPr>
              <w:t>，比选</w:t>
            </w:r>
            <w:r>
              <w:rPr>
                <w:rFonts w:hint="eastAsia" w:ascii="宋体" w:hAnsi="宋体" w:cs="宋体"/>
                <w:szCs w:val="21"/>
              </w:rPr>
              <w:t>人有权根据相关规定采取相应措施，</w:t>
            </w:r>
            <w:r>
              <w:rPr>
                <w:rFonts w:hint="eastAsia" w:ascii="宋体" w:hAnsi="宋体" w:cs="宋体"/>
                <w:kern w:val="0"/>
                <w:szCs w:val="21"/>
              </w:rPr>
              <w:t>给他人造成损失的，前述比选供应商应当依法承担赔偿责任。</w:t>
            </w:r>
          </w:p>
          <w:p w14:paraId="3F644790">
            <w:pPr>
              <w:widowControl/>
              <w:wordWrap w:val="0"/>
              <w:topLinePunct/>
              <w:snapToGrid w:val="0"/>
              <w:spacing w:line="400" w:lineRule="exact"/>
              <w:ind w:firstLine="420" w:firstLineChars="200"/>
              <w:rPr>
                <w:rFonts w:hint="eastAsia" w:ascii="宋体" w:hAnsi="宋体" w:cs="宋体"/>
                <w:szCs w:val="21"/>
              </w:rPr>
            </w:pPr>
            <w:r>
              <w:rPr>
                <w:rFonts w:hint="eastAsia" w:ascii="宋体" w:hAnsi="宋体" w:cs="宋体"/>
                <w:kern w:val="0"/>
                <w:szCs w:val="21"/>
              </w:rPr>
              <w:t>3.</w:t>
            </w:r>
            <w:r>
              <w:rPr>
                <w:rFonts w:hint="eastAsia" w:ascii="宋体" w:hAnsi="宋体" w:cs="宋体"/>
                <w:szCs w:val="21"/>
              </w:rPr>
              <w:t>异议或投诉受理单位及联系方式</w:t>
            </w:r>
          </w:p>
          <w:p w14:paraId="051A3DE0">
            <w:pPr>
              <w:wordWrap w:val="0"/>
              <w:topLinePunct/>
              <w:snapToGrid w:val="0"/>
              <w:spacing w:line="400" w:lineRule="exact"/>
              <w:ind w:firstLine="420" w:firstLineChars="200"/>
              <w:rPr>
                <w:rFonts w:hint="eastAsia" w:ascii="宋体" w:hAnsi="宋体"/>
                <w:kern w:val="0"/>
                <w:szCs w:val="21"/>
              </w:rPr>
            </w:pPr>
            <w:r>
              <w:rPr>
                <w:rFonts w:hint="eastAsia" w:ascii="宋体" w:hAnsi="宋体"/>
                <w:kern w:val="0"/>
                <w:szCs w:val="21"/>
              </w:rPr>
              <w:t>异议受理单位：重庆理工职业学院</w:t>
            </w:r>
          </w:p>
          <w:p w14:paraId="3E0A469B">
            <w:pPr>
              <w:wordWrap w:val="0"/>
              <w:topLinePunct/>
              <w:snapToGrid w:val="0"/>
              <w:spacing w:line="400" w:lineRule="exact"/>
              <w:ind w:firstLine="420" w:firstLineChars="200"/>
              <w:rPr>
                <w:rFonts w:hint="eastAsia" w:ascii="宋体" w:hAnsi="宋体"/>
                <w:kern w:val="0"/>
                <w:szCs w:val="21"/>
              </w:rPr>
            </w:pPr>
            <w:r>
              <w:rPr>
                <w:rFonts w:hint="eastAsia" w:ascii="宋体" w:hAnsi="宋体"/>
                <w:kern w:val="0"/>
                <w:szCs w:val="21"/>
              </w:rPr>
              <w:t xml:space="preserve">投诉受理部门：监管督导部     </w:t>
            </w:r>
          </w:p>
          <w:p w14:paraId="2B438E23">
            <w:pPr>
              <w:snapToGrid w:val="0"/>
              <w:spacing w:line="400" w:lineRule="exact"/>
              <w:ind w:firstLine="420" w:firstLineChars="200"/>
              <w:rPr>
                <w:rFonts w:hint="eastAsia" w:ascii="宋体" w:hAnsi="宋体" w:cs="宋体"/>
                <w:szCs w:val="21"/>
              </w:rPr>
            </w:pPr>
            <w:r>
              <w:rPr>
                <w:rFonts w:hint="eastAsia" w:ascii="宋体" w:hAnsi="宋体"/>
                <w:kern w:val="0"/>
                <w:szCs w:val="21"/>
              </w:rPr>
              <w:t xml:space="preserve">联系电话：    </w:t>
            </w:r>
            <w:r>
              <w:rPr>
                <w:rFonts w:ascii="宋体" w:hAnsi="宋体"/>
                <w:kern w:val="0"/>
                <w:szCs w:val="21"/>
              </w:rPr>
              <w:t>023-62570038</w:t>
            </w:r>
            <w:r>
              <w:rPr>
                <w:rFonts w:hint="eastAsia" w:ascii="宋体" w:hAnsi="宋体"/>
                <w:kern w:val="0"/>
                <w:szCs w:val="21"/>
              </w:rPr>
              <w:t xml:space="preserve"> </w:t>
            </w:r>
          </w:p>
        </w:tc>
      </w:tr>
      <w:tr w14:paraId="09309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3" w:type="dxa"/>
            <w:gridSpan w:val="3"/>
          </w:tcPr>
          <w:p w14:paraId="6947F937">
            <w:pPr>
              <w:adjustRightInd w:val="0"/>
              <w:snapToGrid w:val="0"/>
              <w:spacing w:line="400" w:lineRule="exact"/>
              <w:jc w:val="center"/>
              <w:rPr>
                <w:rFonts w:hint="eastAsia" w:ascii="宋体" w:hAnsi="宋体" w:cs="宋体"/>
                <w:b/>
                <w:szCs w:val="21"/>
              </w:rPr>
            </w:pPr>
            <w:r>
              <w:rPr>
                <w:rFonts w:hint="eastAsia" w:ascii="宋体" w:hAnsi="宋体" w:cs="宋体"/>
                <w:b/>
                <w:szCs w:val="21"/>
              </w:rPr>
              <w:t>G  比选服务费</w:t>
            </w:r>
          </w:p>
        </w:tc>
      </w:tr>
      <w:tr w14:paraId="2C954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112" w:type="dxa"/>
            <w:vAlign w:val="center"/>
          </w:tcPr>
          <w:p w14:paraId="281574C3">
            <w:pPr>
              <w:adjustRightInd w:val="0"/>
              <w:snapToGrid w:val="0"/>
              <w:spacing w:line="400" w:lineRule="exact"/>
              <w:jc w:val="center"/>
              <w:rPr>
                <w:rFonts w:hint="eastAsia" w:ascii="宋体" w:hAnsi="宋体" w:cs="宋体"/>
                <w:szCs w:val="21"/>
              </w:rPr>
            </w:pPr>
            <w:r>
              <w:rPr>
                <w:rFonts w:hint="eastAsia" w:ascii="宋体" w:hAnsi="宋体" w:cs="宋体"/>
                <w:szCs w:val="21"/>
              </w:rPr>
              <w:t>G.28.</w:t>
            </w:r>
            <w:r>
              <w:rPr>
                <w:rFonts w:ascii="宋体" w:hAnsi="宋体" w:cs="宋体"/>
                <w:szCs w:val="21"/>
              </w:rPr>
              <w:t>1</w:t>
            </w:r>
          </w:p>
        </w:tc>
        <w:tc>
          <w:tcPr>
            <w:tcW w:w="1417" w:type="dxa"/>
            <w:vAlign w:val="center"/>
          </w:tcPr>
          <w:p w14:paraId="5A2D2B37">
            <w:pPr>
              <w:adjustRightInd w:val="0"/>
              <w:snapToGrid w:val="0"/>
              <w:spacing w:line="400" w:lineRule="exact"/>
              <w:jc w:val="center"/>
              <w:rPr>
                <w:rFonts w:hint="eastAsia" w:ascii="宋体" w:hAnsi="宋体" w:cs="宋体"/>
                <w:szCs w:val="21"/>
              </w:rPr>
            </w:pPr>
            <w:r>
              <w:rPr>
                <w:rFonts w:hint="eastAsia" w:ascii="宋体" w:hAnsi="宋体" w:cs="宋体"/>
                <w:szCs w:val="21"/>
              </w:rPr>
              <w:t>代理</w:t>
            </w:r>
          </w:p>
          <w:p w14:paraId="11DFB6AC">
            <w:pPr>
              <w:adjustRightInd w:val="0"/>
              <w:snapToGrid w:val="0"/>
              <w:spacing w:line="400" w:lineRule="exact"/>
              <w:jc w:val="center"/>
              <w:rPr>
                <w:rFonts w:hint="eastAsia" w:ascii="宋体" w:hAnsi="宋体" w:cs="宋体"/>
                <w:szCs w:val="21"/>
              </w:rPr>
            </w:pPr>
            <w:r>
              <w:rPr>
                <w:rFonts w:hint="eastAsia" w:ascii="宋体" w:hAnsi="宋体" w:cs="宋体"/>
                <w:szCs w:val="21"/>
              </w:rPr>
              <w:t>服务费</w:t>
            </w:r>
          </w:p>
        </w:tc>
        <w:tc>
          <w:tcPr>
            <w:tcW w:w="6804" w:type="dxa"/>
            <w:vAlign w:val="center"/>
          </w:tcPr>
          <w:p w14:paraId="4E6FA838">
            <w:pPr>
              <w:spacing w:line="400" w:lineRule="exact"/>
              <w:ind w:firstLine="420" w:firstLineChars="200"/>
              <w:rPr>
                <w:rFonts w:hint="eastAsia" w:ascii="宋体" w:hAnsi="宋体" w:cs="宋体"/>
                <w:szCs w:val="21"/>
              </w:rPr>
            </w:pPr>
            <w:r>
              <w:rPr>
                <w:rFonts w:hint="eastAsia" w:ascii="宋体" w:hAnsi="宋体" w:cs="宋体"/>
                <w:szCs w:val="21"/>
              </w:rPr>
              <w:t>本项目比选代理服务费13105.3元整，由成交供应商在领取成交通知书前向比选代理机构支付。</w:t>
            </w:r>
          </w:p>
        </w:tc>
      </w:tr>
      <w:tr w14:paraId="20855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333" w:type="dxa"/>
            <w:gridSpan w:val="3"/>
            <w:vAlign w:val="center"/>
          </w:tcPr>
          <w:p w14:paraId="76DD3D4B">
            <w:pPr>
              <w:spacing w:line="400" w:lineRule="exact"/>
              <w:ind w:firstLine="422" w:firstLineChars="200"/>
              <w:jc w:val="center"/>
              <w:rPr>
                <w:rFonts w:hint="eastAsia" w:ascii="宋体" w:hAnsi="宋体" w:cs="宋体"/>
                <w:szCs w:val="21"/>
              </w:rPr>
            </w:pPr>
            <w:r>
              <w:rPr>
                <w:rFonts w:ascii="宋体" w:hAnsi="宋体" w:cs="宋体"/>
                <w:b/>
                <w:szCs w:val="21"/>
              </w:rPr>
              <w:t>J</w:t>
            </w:r>
            <w:r>
              <w:rPr>
                <w:rFonts w:hint="eastAsia" w:ascii="宋体" w:hAnsi="宋体" w:cs="宋体"/>
                <w:b/>
                <w:szCs w:val="21"/>
              </w:rPr>
              <w:t xml:space="preserve">  其他</w:t>
            </w:r>
          </w:p>
        </w:tc>
      </w:tr>
      <w:tr w14:paraId="3D927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1112" w:type="dxa"/>
            <w:vAlign w:val="center"/>
          </w:tcPr>
          <w:p w14:paraId="37A9E7AE">
            <w:pPr>
              <w:adjustRightInd w:val="0"/>
              <w:snapToGrid w:val="0"/>
              <w:spacing w:line="400" w:lineRule="exact"/>
              <w:jc w:val="center"/>
              <w:rPr>
                <w:rFonts w:hint="eastAsia" w:ascii="宋体" w:hAnsi="宋体" w:cs="宋体"/>
                <w:szCs w:val="21"/>
              </w:rPr>
            </w:pPr>
            <w:r>
              <w:rPr>
                <w:rFonts w:ascii="宋体" w:hAnsi="宋体" w:cs="宋体"/>
                <w:szCs w:val="21"/>
              </w:rPr>
              <w:t>J</w:t>
            </w:r>
            <w:r>
              <w:rPr>
                <w:rFonts w:hint="eastAsia" w:ascii="宋体" w:hAnsi="宋体" w:cs="宋体"/>
                <w:szCs w:val="21"/>
              </w:rPr>
              <w:t>.29.2</w:t>
            </w:r>
          </w:p>
        </w:tc>
        <w:tc>
          <w:tcPr>
            <w:tcW w:w="1417" w:type="dxa"/>
            <w:vAlign w:val="center"/>
          </w:tcPr>
          <w:p w14:paraId="0C29E252">
            <w:pPr>
              <w:adjustRightInd w:val="0"/>
              <w:snapToGrid w:val="0"/>
              <w:spacing w:line="400" w:lineRule="exact"/>
              <w:jc w:val="center"/>
              <w:rPr>
                <w:rFonts w:hint="eastAsia" w:ascii="宋体" w:hAnsi="宋体" w:cs="宋体"/>
                <w:bCs/>
                <w:szCs w:val="21"/>
              </w:rPr>
            </w:pPr>
            <w:r>
              <w:rPr>
                <w:rFonts w:hint="eastAsia" w:ascii="宋体" w:hAnsi="宋体" w:cs="宋体"/>
                <w:szCs w:val="21"/>
              </w:rPr>
              <w:t>转包</w:t>
            </w:r>
          </w:p>
        </w:tc>
        <w:tc>
          <w:tcPr>
            <w:tcW w:w="6804" w:type="dxa"/>
            <w:vAlign w:val="center"/>
          </w:tcPr>
          <w:p w14:paraId="3DDC0AAD">
            <w:pPr>
              <w:spacing w:line="400" w:lineRule="exact"/>
              <w:ind w:firstLine="420" w:firstLineChars="200"/>
              <w:rPr>
                <w:rFonts w:hint="eastAsia" w:ascii="宋体" w:hAnsi="宋体" w:cs="宋体"/>
                <w:szCs w:val="21"/>
              </w:rPr>
            </w:pPr>
            <w:bookmarkStart w:id="28" w:name="_Hlk153662844"/>
            <w:r>
              <w:rPr>
                <w:rFonts w:hint="eastAsia" w:ascii="宋体" w:hAnsi="宋体" w:cs="宋体"/>
                <w:szCs w:val="21"/>
              </w:rPr>
              <w:t>本项目不接受转包，</w:t>
            </w:r>
            <w:r>
              <w:rPr>
                <w:szCs w:val="21"/>
              </w:rPr>
              <w:t>中</w:t>
            </w:r>
            <w:r>
              <w:rPr>
                <w:rFonts w:hint="eastAsia"/>
                <w:szCs w:val="21"/>
              </w:rPr>
              <w:t>选</w:t>
            </w:r>
            <w:r>
              <w:rPr>
                <w:szCs w:val="21"/>
              </w:rPr>
              <w:t>人不得向他人转让中</w:t>
            </w:r>
            <w:r>
              <w:rPr>
                <w:rFonts w:hint="eastAsia"/>
                <w:szCs w:val="21"/>
              </w:rPr>
              <w:t>选</w:t>
            </w:r>
            <w:r>
              <w:rPr>
                <w:szCs w:val="21"/>
              </w:rPr>
              <w:t>项目，</w:t>
            </w:r>
            <w:r>
              <w:rPr>
                <w:rFonts w:hint="eastAsia"/>
                <w:szCs w:val="21"/>
              </w:rPr>
              <w:t>也</w:t>
            </w:r>
            <w:r>
              <w:rPr>
                <w:szCs w:val="21"/>
              </w:rPr>
              <w:t>不得将中</w:t>
            </w:r>
            <w:r>
              <w:rPr>
                <w:rFonts w:hint="eastAsia"/>
                <w:szCs w:val="21"/>
              </w:rPr>
              <w:t>选</w:t>
            </w:r>
            <w:r>
              <w:rPr>
                <w:szCs w:val="21"/>
              </w:rPr>
              <w:t>项目肢解后分别向他人转让</w:t>
            </w:r>
            <w:r>
              <w:rPr>
                <w:rFonts w:hint="eastAsia"/>
                <w:szCs w:val="21"/>
              </w:rPr>
              <w:t>，</w:t>
            </w:r>
            <w:r>
              <w:rPr>
                <w:rFonts w:hint="eastAsia" w:ascii="宋体" w:hAnsi="宋体" w:cs="宋体"/>
                <w:szCs w:val="21"/>
              </w:rPr>
              <w:t>比选人一旦发现中选人对本项目进行转包并查证属实的，比选人有权解除合同，没收中选人的履约保证金，同时，比选人有权按本比选文件其他部分相关规定、比选人与中选人签订的合同、中选人提交的承诺等相关文件规定采取相应措施。</w:t>
            </w:r>
            <w:bookmarkEnd w:id="28"/>
          </w:p>
        </w:tc>
      </w:tr>
    </w:tbl>
    <w:p w14:paraId="365687A2">
      <w:pPr>
        <w:snapToGrid w:val="0"/>
        <w:spacing w:line="440" w:lineRule="atLeast"/>
        <w:rPr>
          <w:rFonts w:hint="eastAsia" w:hAnsi="宋体" w:cs="宋体"/>
          <w:b/>
          <w:sz w:val="28"/>
          <w:szCs w:val="28"/>
        </w:rPr>
      </w:pPr>
      <w:bookmarkStart w:id="29" w:name="_Hlt41895406"/>
      <w:bookmarkEnd w:id="29"/>
    </w:p>
    <w:p w14:paraId="309E2DDD">
      <w:pPr>
        <w:rPr>
          <w:rFonts w:hint="eastAsia" w:hAnsi="宋体" w:cs="宋体"/>
          <w:b/>
          <w:sz w:val="28"/>
          <w:szCs w:val="28"/>
        </w:rPr>
      </w:pPr>
      <w:r>
        <w:rPr>
          <w:rFonts w:hAnsi="宋体" w:cs="宋体"/>
          <w:b/>
          <w:sz w:val="28"/>
          <w:szCs w:val="28"/>
        </w:rPr>
        <w:br w:type="page"/>
      </w:r>
    </w:p>
    <w:p w14:paraId="3F525339"/>
    <w:p w14:paraId="544F86AD">
      <w:pPr>
        <w:snapToGrid w:val="0"/>
        <w:spacing w:line="400" w:lineRule="exact"/>
        <w:jc w:val="center"/>
      </w:pPr>
      <w:r>
        <w:rPr>
          <w:rFonts w:hint="eastAsia" w:hAnsi="宋体" w:cs="宋体"/>
          <w:b/>
          <w:sz w:val="28"/>
          <w:szCs w:val="28"/>
        </w:rPr>
        <w:t>比选供应商须知</w:t>
      </w:r>
    </w:p>
    <w:p w14:paraId="09EE73F1">
      <w:pPr>
        <w:pStyle w:val="472"/>
        <w:widowControl/>
        <w:adjustRightInd w:val="0"/>
        <w:snapToGrid w:val="0"/>
        <w:spacing w:afterLines="0" w:line="440" w:lineRule="atLeast"/>
        <w:ind w:left="0" w:firstLine="0"/>
        <w:jc w:val="left"/>
        <w:outlineLvl w:val="1"/>
        <w:rPr>
          <w:rFonts w:hint="eastAsia" w:ascii="宋体" w:hAnsi="宋体"/>
          <w:b/>
        </w:rPr>
      </w:pPr>
      <w:bookmarkStart w:id="30" w:name="_Toc24157"/>
      <w:bookmarkStart w:id="31" w:name="_Toc345343634"/>
      <w:bookmarkStart w:id="32" w:name="_Toc400720538"/>
      <w:bookmarkStart w:id="33" w:name="_Toc411258069"/>
      <w:bookmarkStart w:id="34" w:name="_Toc20482"/>
      <w:bookmarkStart w:id="35" w:name="_Toc26007"/>
      <w:bookmarkStart w:id="36" w:name="_Toc348800099"/>
      <w:bookmarkStart w:id="37" w:name="_Toc317551043"/>
      <w:bookmarkStart w:id="38" w:name="_Toc352157802"/>
      <w:bookmarkStart w:id="39" w:name="_Toc513039447"/>
      <w:bookmarkStart w:id="40" w:name="_Toc345927358"/>
      <w:bookmarkStart w:id="41" w:name="_Toc428969033"/>
      <w:bookmarkStart w:id="42" w:name="_Toc406763724"/>
      <w:bookmarkStart w:id="43" w:name="_Toc346207063"/>
      <w:bookmarkStart w:id="44" w:name="_Toc1095"/>
      <w:r>
        <w:rPr>
          <w:rFonts w:ascii="宋体" w:hAnsi="宋体"/>
          <w:b/>
        </w:rPr>
        <w:t>1.</w:t>
      </w:r>
      <w:r>
        <w:rPr>
          <w:rFonts w:hint="eastAsia" w:ascii="宋体" w:hAnsi="宋体"/>
          <w:b/>
        </w:rPr>
        <w:t>总则</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1BE296E8">
      <w:pPr>
        <w:tabs>
          <w:tab w:val="left" w:pos="1050"/>
          <w:tab w:val="left" w:pos="1470"/>
        </w:tabs>
        <w:adjustRightInd w:val="0"/>
        <w:snapToGrid w:val="0"/>
        <w:spacing w:line="400" w:lineRule="exact"/>
        <w:ind w:firstLine="420" w:firstLineChars="200"/>
        <w:rPr>
          <w:rFonts w:hint="eastAsia" w:ascii="宋体" w:hAnsi="宋体" w:cs="Arial"/>
          <w:szCs w:val="21"/>
        </w:rPr>
      </w:pPr>
      <w:r>
        <w:rPr>
          <w:rFonts w:ascii="宋体" w:hAnsi="宋体" w:cs="Arial"/>
          <w:szCs w:val="21"/>
        </w:rPr>
        <w:t>1.1</w:t>
      </w:r>
      <w:r>
        <w:rPr>
          <w:rFonts w:hint="eastAsia" w:ascii="宋体" w:hAnsi="宋体" w:cs="Arial"/>
          <w:szCs w:val="21"/>
        </w:rPr>
        <w:t>项目名称：详见比选供应商须知前附表。</w:t>
      </w:r>
    </w:p>
    <w:p w14:paraId="5EC3F827">
      <w:pPr>
        <w:tabs>
          <w:tab w:val="left" w:pos="1050"/>
          <w:tab w:val="left" w:pos="1470"/>
        </w:tabs>
        <w:adjustRightInd w:val="0"/>
        <w:snapToGrid w:val="0"/>
        <w:spacing w:line="400" w:lineRule="exact"/>
        <w:ind w:firstLine="420" w:firstLineChars="200"/>
        <w:rPr>
          <w:rFonts w:hint="eastAsia" w:ascii="宋体" w:hAnsi="宋体" w:cs="Arial"/>
          <w:szCs w:val="21"/>
        </w:rPr>
      </w:pPr>
      <w:r>
        <w:rPr>
          <w:rFonts w:ascii="宋体" w:hAnsi="宋体" w:cs="Arial"/>
          <w:szCs w:val="21"/>
        </w:rPr>
        <w:t>1.2</w:t>
      </w:r>
      <w:r>
        <w:rPr>
          <w:rFonts w:hint="eastAsia" w:ascii="宋体" w:hAnsi="宋体" w:cs="Arial"/>
          <w:szCs w:val="21"/>
        </w:rPr>
        <w:t>资金来源：详见比选供应商须知前附表。</w:t>
      </w:r>
    </w:p>
    <w:p w14:paraId="1F13E103">
      <w:pPr>
        <w:tabs>
          <w:tab w:val="left" w:pos="1050"/>
          <w:tab w:val="left" w:pos="1470"/>
        </w:tabs>
        <w:adjustRightInd w:val="0"/>
        <w:snapToGrid w:val="0"/>
        <w:spacing w:line="400" w:lineRule="exact"/>
        <w:ind w:firstLine="420" w:firstLineChars="200"/>
        <w:rPr>
          <w:rFonts w:hint="eastAsia" w:ascii="宋体" w:hAnsi="宋体" w:cs="Arial"/>
          <w:szCs w:val="21"/>
        </w:rPr>
      </w:pPr>
      <w:r>
        <w:rPr>
          <w:rFonts w:ascii="宋体" w:hAnsi="宋体" w:cs="Arial"/>
          <w:szCs w:val="21"/>
        </w:rPr>
        <w:t>1.3</w:t>
      </w:r>
      <w:r>
        <w:rPr>
          <w:rFonts w:hint="eastAsia" w:ascii="宋体" w:hAnsi="宋体" w:cs="Arial"/>
          <w:szCs w:val="21"/>
        </w:rPr>
        <w:t>比选人及比选代理机构。</w:t>
      </w:r>
    </w:p>
    <w:p w14:paraId="58ABF8B2">
      <w:pPr>
        <w:tabs>
          <w:tab w:val="left" w:pos="1050"/>
          <w:tab w:val="left" w:pos="1470"/>
        </w:tabs>
        <w:adjustRightInd w:val="0"/>
        <w:snapToGrid w:val="0"/>
        <w:spacing w:line="400" w:lineRule="exact"/>
        <w:ind w:firstLine="420" w:firstLineChars="200"/>
        <w:rPr>
          <w:rFonts w:hint="eastAsia" w:ascii="宋体" w:hAnsi="宋体" w:cs="Arial"/>
          <w:szCs w:val="21"/>
        </w:rPr>
      </w:pPr>
      <w:r>
        <w:rPr>
          <w:rFonts w:ascii="宋体" w:hAnsi="宋体" w:cs="Arial"/>
          <w:szCs w:val="21"/>
        </w:rPr>
        <w:t>1.3.1</w:t>
      </w:r>
      <w:r>
        <w:rPr>
          <w:rFonts w:hint="eastAsia" w:ascii="宋体" w:hAnsi="宋体" w:cs="Arial"/>
          <w:szCs w:val="21"/>
        </w:rPr>
        <w:t>比选人：详见比选供应商须知前附表。</w:t>
      </w:r>
    </w:p>
    <w:p w14:paraId="58709EE0">
      <w:pPr>
        <w:tabs>
          <w:tab w:val="left" w:pos="1050"/>
          <w:tab w:val="left" w:pos="1470"/>
        </w:tabs>
        <w:adjustRightInd w:val="0"/>
        <w:snapToGrid w:val="0"/>
        <w:spacing w:line="400" w:lineRule="exact"/>
        <w:ind w:firstLine="420" w:firstLineChars="200"/>
        <w:rPr>
          <w:rFonts w:hint="eastAsia" w:ascii="宋体" w:hAnsi="宋体" w:cs="Arial"/>
          <w:szCs w:val="21"/>
        </w:rPr>
      </w:pPr>
      <w:r>
        <w:rPr>
          <w:rFonts w:ascii="宋体" w:hAnsi="宋体" w:cs="Arial"/>
          <w:szCs w:val="21"/>
        </w:rPr>
        <w:t>1.3.2</w:t>
      </w:r>
      <w:r>
        <w:rPr>
          <w:rFonts w:hint="eastAsia" w:ascii="宋体" w:hAnsi="宋体" w:cs="Arial"/>
          <w:szCs w:val="21"/>
        </w:rPr>
        <w:t>比选代理机构：详见比选供应商须知前附表。</w:t>
      </w:r>
    </w:p>
    <w:p w14:paraId="738BEBE3">
      <w:pPr>
        <w:tabs>
          <w:tab w:val="left" w:pos="1050"/>
          <w:tab w:val="left" w:pos="1470"/>
        </w:tabs>
        <w:adjustRightInd w:val="0"/>
        <w:snapToGrid w:val="0"/>
        <w:spacing w:line="400" w:lineRule="exact"/>
        <w:ind w:firstLine="420" w:firstLineChars="200"/>
        <w:rPr>
          <w:rFonts w:hint="eastAsia" w:ascii="宋体" w:hAnsi="宋体" w:cs="Arial"/>
          <w:szCs w:val="21"/>
        </w:rPr>
      </w:pPr>
      <w:r>
        <w:rPr>
          <w:rFonts w:ascii="宋体" w:hAnsi="宋体" w:cs="Arial"/>
          <w:szCs w:val="21"/>
        </w:rPr>
        <w:t>1.4</w:t>
      </w:r>
      <w:r>
        <w:rPr>
          <w:rFonts w:hint="eastAsia" w:ascii="宋体" w:hAnsi="宋体" w:cs="Arial"/>
          <w:szCs w:val="21"/>
        </w:rPr>
        <w:t>比选内容：详见比选供应商须知前附表。</w:t>
      </w:r>
    </w:p>
    <w:p w14:paraId="59E54E9C">
      <w:pPr>
        <w:tabs>
          <w:tab w:val="left" w:pos="1050"/>
          <w:tab w:val="left" w:pos="1470"/>
        </w:tabs>
        <w:adjustRightInd w:val="0"/>
        <w:snapToGrid w:val="0"/>
        <w:spacing w:line="400" w:lineRule="exact"/>
        <w:ind w:firstLine="420" w:firstLineChars="200"/>
        <w:rPr>
          <w:rFonts w:hint="eastAsia" w:ascii="宋体" w:hAnsi="宋体" w:cs="Arial"/>
          <w:szCs w:val="21"/>
        </w:rPr>
      </w:pPr>
      <w:r>
        <w:rPr>
          <w:rFonts w:ascii="宋体" w:hAnsi="宋体" w:cs="Arial"/>
          <w:szCs w:val="21"/>
        </w:rPr>
        <w:t>1.5</w:t>
      </w:r>
      <w:r>
        <w:rPr>
          <w:rFonts w:hint="eastAsia" w:ascii="宋体" w:hAnsi="宋体" w:cs="宋体"/>
          <w:snapToGrid w:val="0"/>
          <w:kern w:val="0"/>
          <w:szCs w:val="21"/>
        </w:rPr>
        <w:t>交货期</w:t>
      </w:r>
      <w:r>
        <w:rPr>
          <w:rFonts w:ascii="宋体" w:hAnsi="宋体" w:cs="Arial"/>
          <w:szCs w:val="21"/>
        </w:rPr>
        <w:t>：</w:t>
      </w:r>
      <w:r>
        <w:rPr>
          <w:rFonts w:hint="eastAsia" w:ascii="宋体" w:hAnsi="宋体" w:cs="Arial"/>
          <w:szCs w:val="21"/>
        </w:rPr>
        <w:t>详见比选供应商须知前附表。</w:t>
      </w:r>
    </w:p>
    <w:p w14:paraId="4D05AD48">
      <w:pPr>
        <w:tabs>
          <w:tab w:val="left" w:pos="1050"/>
          <w:tab w:val="left" w:pos="1470"/>
        </w:tabs>
        <w:adjustRightInd w:val="0"/>
        <w:snapToGrid w:val="0"/>
        <w:spacing w:line="400" w:lineRule="exact"/>
        <w:ind w:firstLine="420" w:firstLineChars="200"/>
        <w:rPr>
          <w:rFonts w:hint="eastAsia" w:ascii="宋体" w:hAnsi="宋体" w:cs="Arial"/>
          <w:szCs w:val="21"/>
        </w:rPr>
      </w:pPr>
      <w:r>
        <w:rPr>
          <w:rFonts w:ascii="宋体" w:hAnsi="宋体" w:cs="Arial"/>
          <w:szCs w:val="21"/>
        </w:rPr>
        <w:t>1.</w:t>
      </w:r>
      <w:r>
        <w:rPr>
          <w:rFonts w:hint="eastAsia" w:ascii="宋体" w:hAnsi="宋体" w:cs="Arial"/>
          <w:szCs w:val="21"/>
        </w:rPr>
        <w:t>6</w:t>
      </w:r>
      <w:r>
        <w:rPr>
          <w:rFonts w:hint="eastAsia" w:ascii="宋体" w:hAnsi="宋体" w:cs="宋体"/>
          <w:snapToGrid w:val="0"/>
          <w:kern w:val="0"/>
          <w:szCs w:val="21"/>
        </w:rPr>
        <w:t>交货地点</w:t>
      </w:r>
      <w:r>
        <w:rPr>
          <w:rFonts w:hint="eastAsia" w:ascii="宋体" w:hAnsi="宋体" w:cs="Arial"/>
          <w:szCs w:val="21"/>
        </w:rPr>
        <w:t>：详见比选供应商须知前附表。</w:t>
      </w:r>
    </w:p>
    <w:p w14:paraId="6DD59199">
      <w:pPr>
        <w:tabs>
          <w:tab w:val="left" w:pos="1050"/>
          <w:tab w:val="left" w:pos="1470"/>
        </w:tabs>
        <w:adjustRightInd w:val="0"/>
        <w:snapToGrid w:val="0"/>
        <w:spacing w:line="400" w:lineRule="exact"/>
        <w:ind w:firstLine="420" w:firstLineChars="200"/>
        <w:rPr>
          <w:rFonts w:hint="eastAsia" w:ascii="宋体" w:hAnsi="宋体" w:cs="Arial"/>
          <w:szCs w:val="21"/>
        </w:rPr>
      </w:pPr>
      <w:r>
        <w:rPr>
          <w:rFonts w:ascii="宋体" w:hAnsi="宋体" w:cs="Arial"/>
          <w:szCs w:val="21"/>
        </w:rPr>
        <w:t>1.</w:t>
      </w:r>
      <w:r>
        <w:rPr>
          <w:rFonts w:hint="eastAsia" w:ascii="宋体" w:hAnsi="宋体" w:cs="Arial"/>
          <w:szCs w:val="21"/>
        </w:rPr>
        <w:t>7质量保修期：详见比选供应商须知前附表。</w:t>
      </w:r>
    </w:p>
    <w:p w14:paraId="353F90BF">
      <w:pPr>
        <w:tabs>
          <w:tab w:val="left" w:pos="1050"/>
          <w:tab w:val="left" w:pos="1470"/>
        </w:tabs>
        <w:adjustRightInd w:val="0"/>
        <w:snapToGrid w:val="0"/>
        <w:spacing w:line="400" w:lineRule="exact"/>
        <w:ind w:firstLine="420" w:firstLineChars="200"/>
        <w:rPr>
          <w:rFonts w:hint="eastAsia" w:ascii="宋体" w:hAnsi="宋体" w:cs="Arial"/>
          <w:szCs w:val="21"/>
        </w:rPr>
      </w:pPr>
      <w:r>
        <w:rPr>
          <w:rFonts w:hint="eastAsia" w:ascii="宋体" w:hAnsi="宋体" w:cs="Arial"/>
          <w:szCs w:val="21"/>
        </w:rPr>
        <w:t>1.8</w:t>
      </w:r>
      <w:r>
        <w:rPr>
          <w:rFonts w:hint="eastAsia" w:ascii="宋体" w:hAnsi="宋体"/>
          <w:szCs w:val="21"/>
        </w:rPr>
        <w:t>质量要求：</w:t>
      </w:r>
      <w:r>
        <w:rPr>
          <w:rFonts w:hint="eastAsia" w:ascii="宋体" w:hAnsi="宋体" w:cs="Arial"/>
          <w:szCs w:val="21"/>
        </w:rPr>
        <w:t>详见比选供应商须知前附表。</w:t>
      </w:r>
    </w:p>
    <w:p w14:paraId="62A0B418">
      <w:pPr>
        <w:tabs>
          <w:tab w:val="left" w:pos="1050"/>
          <w:tab w:val="left" w:pos="1470"/>
        </w:tabs>
        <w:adjustRightInd w:val="0"/>
        <w:snapToGrid w:val="0"/>
        <w:spacing w:line="400" w:lineRule="exact"/>
        <w:ind w:firstLine="420" w:firstLineChars="200"/>
        <w:rPr>
          <w:rFonts w:hint="eastAsia" w:ascii="宋体" w:hAnsi="宋体" w:cs="Arial"/>
          <w:szCs w:val="21"/>
        </w:rPr>
      </w:pPr>
      <w:r>
        <w:rPr>
          <w:rFonts w:hint="eastAsia" w:ascii="宋体" w:hAnsi="宋体" w:cs="Arial"/>
          <w:szCs w:val="21"/>
        </w:rPr>
        <w:t>1.9踏勘现场：详见比选供应商须知前附表。</w:t>
      </w:r>
    </w:p>
    <w:p w14:paraId="4A29EC36">
      <w:pPr>
        <w:tabs>
          <w:tab w:val="left" w:pos="1050"/>
          <w:tab w:val="left" w:pos="1470"/>
        </w:tabs>
        <w:adjustRightInd w:val="0"/>
        <w:snapToGrid w:val="0"/>
        <w:spacing w:line="400" w:lineRule="exact"/>
        <w:ind w:firstLine="420" w:firstLineChars="200"/>
        <w:rPr>
          <w:rFonts w:hint="eastAsia" w:ascii="宋体" w:hAnsi="宋体" w:cs="Arial"/>
          <w:szCs w:val="21"/>
        </w:rPr>
      </w:pPr>
      <w:r>
        <w:rPr>
          <w:rFonts w:hint="eastAsia" w:ascii="宋体" w:hAnsi="宋体" w:cs="Arial"/>
          <w:szCs w:val="21"/>
        </w:rPr>
        <w:t>1.10比选预备会：详见比选供应商须知前附表。</w:t>
      </w:r>
    </w:p>
    <w:p w14:paraId="4557B83F">
      <w:pPr>
        <w:tabs>
          <w:tab w:val="left" w:pos="1050"/>
          <w:tab w:val="left" w:pos="1470"/>
        </w:tabs>
        <w:adjustRightInd w:val="0"/>
        <w:snapToGrid w:val="0"/>
        <w:spacing w:line="400" w:lineRule="exact"/>
        <w:ind w:firstLine="420" w:firstLineChars="200"/>
        <w:rPr>
          <w:rFonts w:hint="eastAsia" w:ascii="宋体" w:hAnsi="宋体" w:cs="Arial"/>
          <w:szCs w:val="21"/>
        </w:rPr>
      </w:pPr>
      <w:r>
        <w:rPr>
          <w:rFonts w:hint="eastAsia" w:ascii="宋体" w:hAnsi="宋体" w:cs="Arial"/>
          <w:szCs w:val="21"/>
        </w:rPr>
        <w:t>1.</w:t>
      </w:r>
      <w:r>
        <w:rPr>
          <w:rFonts w:ascii="宋体" w:hAnsi="宋体" w:cs="Arial"/>
          <w:szCs w:val="21"/>
        </w:rPr>
        <w:t>1</w:t>
      </w:r>
      <w:r>
        <w:rPr>
          <w:rFonts w:hint="eastAsia" w:ascii="宋体" w:hAnsi="宋体" w:cs="Arial"/>
          <w:szCs w:val="21"/>
        </w:rPr>
        <w:t>1分包：详见比选供应商须知前附表。</w:t>
      </w:r>
    </w:p>
    <w:p w14:paraId="5144208D">
      <w:pPr>
        <w:tabs>
          <w:tab w:val="left" w:pos="1050"/>
          <w:tab w:val="left" w:pos="1470"/>
        </w:tabs>
        <w:adjustRightInd w:val="0"/>
        <w:snapToGrid w:val="0"/>
        <w:spacing w:line="400" w:lineRule="exact"/>
        <w:ind w:firstLine="420" w:firstLineChars="200"/>
        <w:rPr>
          <w:rFonts w:hint="eastAsia" w:ascii="宋体" w:hAnsi="宋体" w:cs="Arial"/>
          <w:szCs w:val="21"/>
        </w:rPr>
      </w:pPr>
      <w:r>
        <w:rPr>
          <w:rFonts w:hint="eastAsia" w:ascii="宋体" w:hAnsi="宋体" w:cs="Arial"/>
          <w:szCs w:val="21"/>
        </w:rPr>
        <w:t>1.12偏差：详见比选供应商须知前附表。</w:t>
      </w:r>
    </w:p>
    <w:p w14:paraId="3DA1AEFE">
      <w:pPr>
        <w:spacing w:line="400" w:lineRule="exact"/>
        <w:jc w:val="center"/>
        <w:rPr>
          <w:rFonts w:hint="eastAsia" w:ascii="宋体" w:hAnsi="宋体"/>
          <w:b/>
        </w:rPr>
      </w:pPr>
      <w:bookmarkStart w:id="45" w:name="_Toc345343635"/>
      <w:bookmarkStart w:id="46" w:name="_Toc352157803"/>
      <w:bookmarkStart w:id="47" w:name="_Toc406763725"/>
      <w:bookmarkStart w:id="48" w:name="_Toc346207064"/>
      <w:bookmarkStart w:id="49" w:name="_Toc513039448"/>
      <w:bookmarkStart w:id="50" w:name="_Toc345927359"/>
      <w:bookmarkStart w:id="51" w:name="_Toc400720539"/>
      <w:bookmarkStart w:id="52" w:name="_Toc317551044"/>
      <w:bookmarkStart w:id="53" w:name="_Toc348800100"/>
      <w:bookmarkStart w:id="54" w:name="_Toc428969034"/>
      <w:bookmarkStart w:id="55" w:name="_Toc411258070"/>
      <w:r>
        <w:rPr>
          <w:rFonts w:ascii="宋体" w:hAnsi="宋体"/>
          <w:b/>
        </w:rPr>
        <w:t>A</w:t>
      </w:r>
      <w:bookmarkEnd w:id="45"/>
      <w:bookmarkEnd w:id="46"/>
      <w:bookmarkEnd w:id="47"/>
      <w:bookmarkEnd w:id="48"/>
      <w:bookmarkEnd w:id="49"/>
      <w:bookmarkEnd w:id="50"/>
      <w:bookmarkEnd w:id="51"/>
      <w:bookmarkEnd w:id="52"/>
      <w:bookmarkEnd w:id="53"/>
      <w:bookmarkEnd w:id="54"/>
      <w:bookmarkEnd w:id="55"/>
      <w:r>
        <w:rPr>
          <w:rFonts w:hint="eastAsia" w:ascii="宋体" w:hAnsi="宋体"/>
          <w:b/>
        </w:rPr>
        <w:t>比选供应商</w:t>
      </w:r>
    </w:p>
    <w:p w14:paraId="7EC32415">
      <w:pPr>
        <w:pStyle w:val="472"/>
        <w:widowControl/>
        <w:adjustRightInd w:val="0"/>
        <w:snapToGrid w:val="0"/>
        <w:spacing w:afterLines="0" w:line="440" w:lineRule="atLeast"/>
        <w:ind w:left="0" w:firstLine="0"/>
        <w:jc w:val="left"/>
        <w:outlineLvl w:val="1"/>
        <w:rPr>
          <w:rFonts w:hint="eastAsia" w:ascii="宋体" w:hAnsi="宋体"/>
          <w:b/>
        </w:rPr>
      </w:pPr>
      <w:bookmarkStart w:id="56" w:name="_Toc352157804"/>
      <w:bookmarkStart w:id="57" w:name="_Toc346207065"/>
      <w:bookmarkStart w:id="58" w:name="_Toc345343636"/>
      <w:bookmarkStart w:id="59" w:name="_Toc317551045"/>
      <w:bookmarkStart w:id="60" w:name="_Toc17127"/>
      <w:bookmarkStart w:id="61" w:name="_Toc9054"/>
      <w:bookmarkStart w:id="62" w:name="_Toc406763726"/>
      <w:bookmarkStart w:id="63" w:name="_Toc513039449"/>
      <w:bookmarkStart w:id="64" w:name="_Toc428969035"/>
      <w:bookmarkStart w:id="65" w:name="_Toc9830"/>
      <w:bookmarkStart w:id="66" w:name="_Toc348800101"/>
      <w:bookmarkStart w:id="67" w:name="_Toc345927360"/>
      <w:bookmarkStart w:id="68" w:name="_Toc411258071"/>
      <w:bookmarkStart w:id="69" w:name="_Toc400720540"/>
      <w:bookmarkStart w:id="70" w:name="_Toc17123"/>
      <w:r>
        <w:rPr>
          <w:rFonts w:ascii="宋体" w:hAnsi="宋体"/>
          <w:b/>
        </w:rPr>
        <w:t>2.</w:t>
      </w:r>
      <w:r>
        <w:rPr>
          <w:rFonts w:hint="eastAsia" w:ascii="宋体" w:hAnsi="宋体"/>
          <w:b/>
        </w:rPr>
        <w:t>比选供应商资格及要求</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1F4C235B">
      <w:pPr>
        <w:tabs>
          <w:tab w:val="left" w:pos="1050"/>
          <w:tab w:val="left" w:pos="1470"/>
        </w:tabs>
        <w:adjustRightInd w:val="0"/>
        <w:snapToGrid w:val="0"/>
        <w:spacing w:line="400" w:lineRule="exact"/>
        <w:ind w:firstLine="420" w:firstLineChars="200"/>
        <w:rPr>
          <w:rFonts w:hint="eastAsia" w:ascii="宋体" w:hAnsi="宋体" w:cs="Arial"/>
          <w:szCs w:val="21"/>
        </w:rPr>
      </w:pPr>
      <w:r>
        <w:rPr>
          <w:rFonts w:ascii="宋体" w:hAnsi="宋体" w:cs="Arial"/>
          <w:szCs w:val="21"/>
        </w:rPr>
        <w:t>2.1</w:t>
      </w:r>
      <w:r>
        <w:rPr>
          <w:rFonts w:hint="eastAsia" w:ascii="宋体" w:hAnsi="宋体" w:cs="Arial"/>
          <w:szCs w:val="21"/>
        </w:rPr>
        <w:t>凡符合资格条件的比选供应商均可参加比选。</w:t>
      </w:r>
    </w:p>
    <w:p w14:paraId="46F518EC">
      <w:pPr>
        <w:tabs>
          <w:tab w:val="left" w:pos="1050"/>
          <w:tab w:val="left" w:pos="1470"/>
        </w:tabs>
        <w:adjustRightInd w:val="0"/>
        <w:snapToGrid w:val="0"/>
        <w:spacing w:line="400" w:lineRule="exact"/>
        <w:ind w:firstLine="420" w:firstLineChars="200"/>
        <w:rPr>
          <w:rFonts w:hint="eastAsia" w:ascii="宋体" w:hAnsi="宋体" w:cs="Arial"/>
          <w:szCs w:val="21"/>
        </w:rPr>
      </w:pPr>
      <w:r>
        <w:rPr>
          <w:rFonts w:ascii="宋体" w:hAnsi="宋体" w:cs="Arial"/>
          <w:szCs w:val="21"/>
        </w:rPr>
        <w:t>2.2</w:t>
      </w:r>
      <w:r>
        <w:rPr>
          <w:rFonts w:hint="eastAsia" w:ascii="宋体" w:hAnsi="宋体" w:cs="Arial"/>
          <w:szCs w:val="21"/>
        </w:rPr>
        <w:t>比选供应商应遵守国家和地方有关的法律、法规。</w:t>
      </w:r>
    </w:p>
    <w:p w14:paraId="43C9FEC9">
      <w:pPr>
        <w:tabs>
          <w:tab w:val="left" w:pos="1050"/>
          <w:tab w:val="left" w:pos="1470"/>
        </w:tabs>
        <w:adjustRightInd w:val="0"/>
        <w:snapToGrid w:val="0"/>
        <w:spacing w:line="400" w:lineRule="exact"/>
        <w:ind w:firstLine="420" w:firstLineChars="200"/>
        <w:rPr>
          <w:rFonts w:hint="eastAsia" w:ascii="宋体" w:hAnsi="宋体" w:cs="Arial"/>
          <w:szCs w:val="21"/>
        </w:rPr>
      </w:pPr>
      <w:r>
        <w:rPr>
          <w:rFonts w:ascii="宋体" w:hAnsi="宋体" w:cs="Arial"/>
          <w:szCs w:val="21"/>
        </w:rPr>
        <w:t>2.3</w:t>
      </w:r>
      <w:r>
        <w:rPr>
          <w:rFonts w:hint="eastAsia" w:ascii="宋体" w:hAnsi="宋体" w:cs="Arial"/>
          <w:szCs w:val="21"/>
        </w:rPr>
        <w:t>比选供应商不得存在下列情形之一：</w:t>
      </w:r>
    </w:p>
    <w:p w14:paraId="374031D2">
      <w:pPr>
        <w:tabs>
          <w:tab w:val="left" w:pos="1050"/>
          <w:tab w:val="left" w:pos="1470"/>
        </w:tabs>
        <w:adjustRightInd w:val="0"/>
        <w:snapToGrid w:val="0"/>
        <w:spacing w:line="400" w:lineRule="exact"/>
        <w:ind w:firstLine="420" w:firstLineChars="200"/>
        <w:rPr>
          <w:rFonts w:hint="eastAsia" w:ascii="宋体" w:hAnsi="宋体" w:cs="Arial"/>
          <w:szCs w:val="21"/>
        </w:rPr>
      </w:pPr>
      <w:bookmarkStart w:id="71" w:name="_Toc141675375"/>
      <w:r>
        <w:rPr>
          <w:rFonts w:hint="eastAsia" w:ascii="宋体" w:hAnsi="宋体" w:cs="Arial"/>
          <w:szCs w:val="21"/>
        </w:rPr>
        <w:t>（1）法定代表人（或单位负责人）为同一人或者存在控股、管理关系的不同法人或其他组织同时参加比选；</w:t>
      </w:r>
    </w:p>
    <w:p w14:paraId="34C42619">
      <w:pPr>
        <w:tabs>
          <w:tab w:val="left" w:pos="1050"/>
          <w:tab w:val="left" w:pos="1470"/>
        </w:tabs>
        <w:adjustRightInd w:val="0"/>
        <w:snapToGrid w:val="0"/>
        <w:spacing w:line="400" w:lineRule="exact"/>
        <w:ind w:firstLine="420" w:firstLineChars="200"/>
        <w:rPr>
          <w:rFonts w:hint="eastAsia" w:ascii="宋体" w:hAnsi="宋体" w:cs="Arial"/>
          <w:szCs w:val="21"/>
        </w:rPr>
      </w:pPr>
      <w:r>
        <w:rPr>
          <w:rFonts w:hint="eastAsia" w:ascii="宋体" w:hAnsi="宋体" w:cs="Arial"/>
          <w:szCs w:val="21"/>
        </w:rPr>
        <w:t>（2）为本项目的比选代理机构，或者由本项目的比选代理机构代理比选，或者接受过本项目的比选代理机构为本项目提供的咨询；</w:t>
      </w:r>
    </w:p>
    <w:p w14:paraId="63F65AA2">
      <w:pPr>
        <w:tabs>
          <w:tab w:val="left" w:pos="1050"/>
          <w:tab w:val="left" w:pos="1470"/>
        </w:tabs>
        <w:adjustRightInd w:val="0"/>
        <w:snapToGrid w:val="0"/>
        <w:spacing w:line="400" w:lineRule="exact"/>
        <w:ind w:firstLine="420" w:firstLineChars="200"/>
        <w:rPr>
          <w:rFonts w:hint="eastAsia" w:ascii="宋体" w:hAnsi="宋体" w:cs="Arial"/>
          <w:szCs w:val="21"/>
        </w:rPr>
      </w:pPr>
      <w:r>
        <w:rPr>
          <w:rFonts w:hint="eastAsia" w:ascii="宋体" w:hAnsi="宋体" w:cs="Arial"/>
          <w:szCs w:val="21"/>
        </w:rPr>
        <w:t>（3）为本项目提供过设计、编制技术规范、标底或其他文件的咨询服务，或者接受为本项目提供过设计、编制技术规范、标底或其他文件的咨询服务的单位为本项目编制响应文件或提供咨询服务；</w:t>
      </w:r>
    </w:p>
    <w:p w14:paraId="7CFFD29D">
      <w:pPr>
        <w:tabs>
          <w:tab w:val="left" w:pos="1050"/>
          <w:tab w:val="left" w:pos="1470"/>
        </w:tabs>
        <w:adjustRightInd w:val="0"/>
        <w:snapToGrid w:val="0"/>
        <w:spacing w:line="400" w:lineRule="exact"/>
        <w:ind w:firstLine="420" w:firstLineChars="200"/>
        <w:rPr>
          <w:rFonts w:hint="eastAsia" w:ascii="宋体" w:hAnsi="宋体" w:cs="Arial"/>
          <w:szCs w:val="21"/>
        </w:rPr>
      </w:pPr>
      <w:r>
        <w:rPr>
          <w:rFonts w:hint="eastAsia" w:ascii="宋体" w:hAnsi="宋体" w:cs="Arial"/>
          <w:szCs w:val="21"/>
        </w:rPr>
        <w:t>（4）被依法暂停或者取消比选（投标）资格；</w:t>
      </w:r>
    </w:p>
    <w:p w14:paraId="7D3FC219">
      <w:pPr>
        <w:tabs>
          <w:tab w:val="left" w:pos="1050"/>
          <w:tab w:val="left" w:pos="1470"/>
        </w:tabs>
        <w:adjustRightInd w:val="0"/>
        <w:snapToGrid w:val="0"/>
        <w:spacing w:line="400" w:lineRule="exact"/>
        <w:ind w:firstLine="420" w:firstLineChars="200"/>
        <w:rPr>
          <w:rFonts w:hint="eastAsia" w:ascii="宋体" w:hAnsi="宋体" w:cs="Arial"/>
          <w:szCs w:val="21"/>
        </w:rPr>
      </w:pPr>
      <w:r>
        <w:rPr>
          <w:rFonts w:hint="eastAsia" w:ascii="宋体" w:hAnsi="宋体" w:cs="Arial"/>
          <w:szCs w:val="21"/>
        </w:rPr>
        <w:t>（5）为最高人民法院公布的失信被执行人；</w:t>
      </w:r>
    </w:p>
    <w:p w14:paraId="12063D09">
      <w:pPr>
        <w:tabs>
          <w:tab w:val="left" w:pos="1050"/>
          <w:tab w:val="left" w:pos="1470"/>
        </w:tabs>
        <w:adjustRightInd w:val="0"/>
        <w:snapToGrid w:val="0"/>
        <w:spacing w:line="400" w:lineRule="exact"/>
        <w:ind w:firstLine="420" w:firstLineChars="200"/>
        <w:rPr>
          <w:rFonts w:hint="eastAsia" w:ascii="宋体" w:hAnsi="宋体" w:cs="Arial"/>
          <w:szCs w:val="21"/>
        </w:rPr>
      </w:pPr>
      <w:r>
        <w:rPr>
          <w:rFonts w:hint="eastAsia" w:ascii="宋体" w:hAnsi="宋体" w:cs="Arial"/>
          <w:szCs w:val="21"/>
        </w:rPr>
        <w:t>（6）被责令停产停业、暂扣或者吊销许可证、暂扣或者吊销执照；</w:t>
      </w:r>
    </w:p>
    <w:p w14:paraId="146030CE">
      <w:pPr>
        <w:tabs>
          <w:tab w:val="left" w:pos="1050"/>
          <w:tab w:val="left" w:pos="1470"/>
        </w:tabs>
        <w:adjustRightInd w:val="0"/>
        <w:snapToGrid w:val="0"/>
        <w:spacing w:line="400" w:lineRule="exact"/>
        <w:ind w:firstLine="420" w:firstLineChars="200"/>
        <w:rPr>
          <w:rFonts w:hint="eastAsia" w:ascii="宋体" w:hAnsi="宋体" w:cs="Arial"/>
          <w:szCs w:val="21"/>
        </w:rPr>
      </w:pPr>
      <w:r>
        <w:rPr>
          <w:rFonts w:hint="eastAsia" w:ascii="宋体" w:hAnsi="宋体" w:cs="Arial"/>
          <w:szCs w:val="21"/>
        </w:rPr>
        <w:t>（7）进入清算程序，或被宣告破产，或其他丧失履约能力的情形；</w:t>
      </w:r>
    </w:p>
    <w:p w14:paraId="493CFA98">
      <w:pPr>
        <w:tabs>
          <w:tab w:val="left" w:pos="1050"/>
          <w:tab w:val="left" w:pos="1470"/>
        </w:tabs>
        <w:adjustRightInd w:val="0"/>
        <w:snapToGrid w:val="0"/>
        <w:spacing w:line="400" w:lineRule="exact"/>
        <w:ind w:firstLine="420" w:firstLineChars="200"/>
        <w:rPr>
          <w:rFonts w:hint="eastAsia" w:ascii="宋体" w:hAnsi="宋体" w:cs="Arial"/>
          <w:szCs w:val="21"/>
        </w:rPr>
      </w:pPr>
      <w:r>
        <w:rPr>
          <w:rFonts w:hint="eastAsia" w:ascii="宋体" w:hAnsi="宋体" w:cs="Arial"/>
          <w:szCs w:val="21"/>
        </w:rPr>
        <w:t>（8）在最近三年内发生重大产品质量问题或安全事故；</w:t>
      </w:r>
    </w:p>
    <w:p w14:paraId="4366760E">
      <w:pPr>
        <w:tabs>
          <w:tab w:val="left" w:pos="1050"/>
          <w:tab w:val="left" w:pos="1470"/>
        </w:tabs>
        <w:adjustRightInd w:val="0"/>
        <w:snapToGrid w:val="0"/>
        <w:spacing w:line="400" w:lineRule="exact"/>
        <w:ind w:firstLine="420" w:firstLineChars="200"/>
        <w:rPr>
          <w:rFonts w:hint="eastAsia" w:ascii="宋体" w:hAnsi="宋体" w:cs="Arial"/>
          <w:szCs w:val="21"/>
        </w:rPr>
      </w:pPr>
      <w:r>
        <w:rPr>
          <w:rFonts w:hint="eastAsia" w:ascii="宋体" w:hAnsi="宋体" w:cs="Arial"/>
          <w:szCs w:val="21"/>
        </w:rPr>
        <w:t>（9）法律法规或比选供应商须知前附表规定的其他情形。</w:t>
      </w:r>
    </w:p>
    <w:p w14:paraId="4CCBD2F3">
      <w:pPr>
        <w:tabs>
          <w:tab w:val="left" w:pos="1050"/>
          <w:tab w:val="left" w:pos="1470"/>
        </w:tabs>
        <w:adjustRightInd w:val="0"/>
        <w:snapToGrid w:val="0"/>
        <w:spacing w:line="400" w:lineRule="exact"/>
        <w:ind w:firstLine="420" w:firstLineChars="200"/>
        <w:rPr>
          <w:rFonts w:hint="eastAsia" w:ascii="宋体" w:hAnsi="宋体" w:cs="Arial"/>
          <w:szCs w:val="21"/>
        </w:rPr>
      </w:pPr>
      <w:r>
        <w:rPr>
          <w:rFonts w:ascii="宋体" w:hAnsi="宋体" w:cs="Arial"/>
          <w:szCs w:val="21"/>
        </w:rPr>
        <w:t>2.4</w:t>
      </w:r>
      <w:r>
        <w:rPr>
          <w:rFonts w:hint="eastAsia" w:ascii="宋体" w:hAnsi="宋体" w:cs="Arial"/>
          <w:szCs w:val="21"/>
        </w:rPr>
        <w:t>法定代表人</w:t>
      </w:r>
      <w:r>
        <w:rPr>
          <w:rFonts w:hint="eastAsia" w:hAnsi="宋体" w:cs="宋体"/>
          <w:szCs w:val="21"/>
        </w:rPr>
        <w:t>（或单位负责人）</w:t>
      </w:r>
      <w:r>
        <w:rPr>
          <w:rFonts w:hint="eastAsia" w:ascii="宋体" w:hAnsi="宋体" w:cs="Arial"/>
          <w:szCs w:val="21"/>
        </w:rPr>
        <w:t>授权</w:t>
      </w:r>
      <w:bookmarkEnd w:id="71"/>
      <w:r>
        <w:rPr>
          <w:rFonts w:hint="eastAsia" w:ascii="宋体" w:hAnsi="宋体" w:cs="Arial"/>
          <w:szCs w:val="21"/>
        </w:rPr>
        <w:t>委托书。</w:t>
      </w:r>
    </w:p>
    <w:p w14:paraId="42688247">
      <w:pPr>
        <w:tabs>
          <w:tab w:val="left" w:pos="1050"/>
          <w:tab w:val="left" w:pos="1470"/>
        </w:tabs>
        <w:adjustRightInd w:val="0"/>
        <w:snapToGrid w:val="0"/>
        <w:spacing w:line="400" w:lineRule="exact"/>
        <w:ind w:firstLine="420" w:firstLineChars="200"/>
        <w:rPr>
          <w:rFonts w:hint="eastAsia" w:ascii="宋体" w:hAnsi="宋体" w:cs="Arial"/>
          <w:szCs w:val="21"/>
        </w:rPr>
      </w:pPr>
      <w:r>
        <w:rPr>
          <w:rFonts w:ascii="宋体" w:hAnsi="宋体" w:cs="Arial"/>
          <w:szCs w:val="21"/>
        </w:rPr>
        <w:t>2.4.1</w:t>
      </w:r>
      <w:bookmarkStart w:id="72" w:name="_Hlk159104503"/>
      <w:r>
        <w:rPr>
          <w:rFonts w:hint="eastAsia" w:ascii="宋体" w:hAnsi="宋体" w:cs="Arial"/>
          <w:szCs w:val="21"/>
        </w:rPr>
        <w:t>如比选供应商须知前附表代表不是法定代表人</w:t>
      </w:r>
      <w:r>
        <w:rPr>
          <w:rFonts w:hint="eastAsia" w:hAnsi="宋体" w:cs="宋体"/>
          <w:szCs w:val="21"/>
        </w:rPr>
        <w:t>（或单位负责人）</w:t>
      </w:r>
      <w:r>
        <w:rPr>
          <w:rFonts w:hint="eastAsia" w:ascii="宋体" w:hAnsi="宋体" w:cs="Arial"/>
          <w:szCs w:val="21"/>
        </w:rPr>
        <w:t>，除法定代表人（或单位负责人）身份证明外还应持有《法定代表人</w:t>
      </w:r>
      <w:r>
        <w:rPr>
          <w:rFonts w:hint="eastAsia" w:hAnsi="宋体" w:cs="宋体"/>
          <w:szCs w:val="21"/>
        </w:rPr>
        <w:t>（或单位负责人）</w:t>
      </w:r>
      <w:r>
        <w:rPr>
          <w:rFonts w:hint="eastAsia" w:ascii="宋体" w:hAnsi="宋体" w:cs="Arial"/>
          <w:szCs w:val="21"/>
        </w:rPr>
        <w:t>授权委托书》（见比选文件格式）。</w:t>
      </w:r>
      <w:bookmarkEnd w:id="72"/>
    </w:p>
    <w:p w14:paraId="3E5ABB01">
      <w:pPr>
        <w:tabs>
          <w:tab w:val="left" w:pos="1050"/>
          <w:tab w:val="left" w:pos="1470"/>
        </w:tabs>
        <w:adjustRightInd w:val="0"/>
        <w:snapToGrid w:val="0"/>
        <w:spacing w:line="400" w:lineRule="exact"/>
        <w:ind w:firstLine="420" w:firstLineChars="200"/>
        <w:rPr>
          <w:rFonts w:hint="eastAsia" w:ascii="宋体" w:hAnsi="宋体" w:cs="Arial"/>
          <w:szCs w:val="21"/>
        </w:rPr>
      </w:pPr>
      <w:r>
        <w:rPr>
          <w:rFonts w:ascii="宋体" w:hAnsi="宋体" w:cs="Arial"/>
          <w:szCs w:val="21"/>
        </w:rPr>
        <w:t>2.5</w:t>
      </w:r>
      <w:r>
        <w:rPr>
          <w:rFonts w:hint="eastAsia" w:ascii="宋体" w:hAnsi="宋体" w:cs="Arial"/>
          <w:szCs w:val="21"/>
        </w:rPr>
        <w:t>对比选供应商的其它资格要求：详见比选供应商须知前附表。</w:t>
      </w:r>
    </w:p>
    <w:p w14:paraId="39C4EDB4">
      <w:pPr>
        <w:pStyle w:val="472"/>
        <w:widowControl/>
        <w:adjustRightInd w:val="0"/>
        <w:snapToGrid w:val="0"/>
        <w:spacing w:afterLines="0" w:line="440" w:lineRule="atLeast"/>
        <w:ind w:left="0" w:firstLine="0"/>
        <w:jc w:val="left"/>
        <w:outlineLvl w:val="1"/>
        <w:rPr>
          <w:rFonts w:hint="eastAsia" w:ascii="宋体" w:hAnsi="宋体"/>
          <w:b/>
        </w:rPr>
      </w:pPr>
      <w:bookmarkStart w:id="73" w:name="_Toc346207066"/>
      <w:bookmarkStart w:id="74" w:name="_Toc345927361"/>
      <w:bookmarkStart w:id="75" w:name="_Toc322958536"/>
      <w:bookmarkStart w:id="76" w:name="_Toc513039450"/>
      <w:bookmarkStart w:id="77" w:name="_Toc920"/>
      <w:bookmarkStart w:id="78" w:name="_Toc325622524"/>
      <w:bookmarkStart w:id="79" w:name="_Toc324413066"/>
      <w:bookmarkStart w:id="80" w:name="_Toc141675376"/>
      <w:bookmarkStart w:id="81" w:name="_Toc325711624"/>
      <w:bookmarkStart w:id="82" w:name="_Toc406763727"/>
      <w:bookmarkStart w:id="83" w:name="_Toc411258072"/>
      <w:bookmarkStart w:id="84" w:name="_Toc25052"/>
      <w:bookmarkStart w:id="85" w:name="_Toc428969036"/>
      <w:bookmarkStart w:id="86" w:name="_Toc348800102"/>
      <w:bookmarkStart w:id="87" w:name="_Toc352157805"/>
      <w:bookmarkStart w:id="88" w:name="_Toc16936"/>
      <w:bookmarkStart w:id="89" w:name="_Toc30579"/>
      <w:bookmarkStart w:id="90" w:name="_Toc345343637"/>
      <w:bookmarkStart w:id="91" w:name="_Toc400720541"/>
      <w:r>
        <w:rPr>
          <w:rFonts w:ascii="宋体" w:hAnsi="宋体"/>
          <w:b/>
        </w:rPr>
        <w:t>3.</w:t>
      </w:r>
      <w:r>
        <w:rPr>
          <w:rFonts w:hint="eastAsia" w:ascii="宋体" w:hAnsi="宋体"/>
          <w:b/>
        </w:rPr>
        <w:t>比选费用</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52DFF226">
      <w:pPr>
        <w:tabs>
          <w:tab w:val="left" w:pos="1050"/>
          <w:tab w:val="left" w:pos="1470"/>
        </w:tabs>
        <w:adjustRightInd w:val="0"/>
        <w:snapToGrid w:val="0"/>
        <w:spacing w:line="400" w:lineRule="exact"/>
        <w:ind w:firstLine="457" w:firstLineChars="218"/>
        <w:rPr>
          <w:rFonts w:ascii="宋体" w:hAnsi="宋体" w:cs="Arial"/>
          <w:szCs w:val="21"/>
        </w:rPr>
      </w:pPr>
      <w:r>
        <w:rPr>
          <w:rFonts w:ascii="宋体" w:hAnsi="宋体" w:cs="Arial"/>
          <w:szCs w:val="21"/>
        </w:rPr>
        <w:t>3.1</w:t>
      </w:r>
      <w:r>
        <w:rPr>
          <w:rFonts w:hint="eastAsia" w:ascii="宋体" w:hAnsi="宋体" w:cs="Arial"/>
          <w:szCs w:val="21"/>
        </w:rPr>
        <w:t>比选供应商应自行承担所有参加比选有关的全部费用。</w:t>
      </w:r>
    </w:p>
    <w:p w14:paraId="080A835E">
      <w:pPr>
        <w:tabs>
          <w:tab w:val="left" w:pos="1050"/>
          <w:tab w:val="left" w:pos="1470"/>
        </w:tabs>
        <w:adjustRightInd w:val="0"/>
        <w:snapToGrid w:val="0"/>
        <w:spacing w:line="400" w:lineRule="exact"/>
        <w:ind w:firstLine="460" w:firstLineChars="218"/>
        <w:rPr>
          <w:rFonts w:hint="eastAsia" w:ascii="宋体" w:hAnsi="宋体" w:cs="Arial"/>
          <w:b/>
          <w:bCs/>
          <w:szCs w:val="21"/>
        </w:rPr>
      </w:pPr>
      <w:r>
        <w:rPr>
          <w:rFonts w:hint="eastAsia" w:ascii="宋体" w:hAnsi="宋体" w:cs="Arial"/>
          <w:b/>
          <w:bCs/>
          <w:szCs w:val="21"/>
        </w:rPr>
        <w:t>3.2</w:t>
      </w:r>
      <w:r>
        <w:rPr>
          <w:rFonts w:ascii="宋体" w:hAnsi="宋体" w:cs="Arial"/>
          <w:b/>
          <w:bCs/>
          <w:szCs w:val="21"/>
        </w:rPr>
        <w:t>无论比选结果如何</w:t>
      </w:r>
      <w:r>
        <w:rPr>
          <w:rFonts w:hint="eastAsia" w:ascii="宋体" w:hAnsi="宋体" w:cs="Arial"/>
          <w:b/>
          <w:bCs/>
          <w:szCs w:val="21"/>
          <w:lang w:val="en-US" w:eastAsia="zh-CN"/>
        </w:rPr>
        <w:t>,因不可抗力或重大</w:t>
      </w:r>
      <w:r>
        <w:rPr>
          <w:rFonts w:ascii="宋体" w:hAnsi="宋体" w:cs="Arial"/>
          <w:b/>
          <w:bCs/>
          <w:szCs w:val="21"/>
        </w:rPr>
        <w:t>原因取消或延期，供应商参与本项目比选的所有费用均应由供应商自行承担，</w:t>
      </w:r>
      <w:r>
        <w:rPr>
          <w:rFonts w:hint="eastAsia" w:ascii="宋体" w:hAnsi="宋体" w:cs="Arial"/>
          <w:b/>
          <w:bCs/>
          <w:szCs w:val="21"/>
          <w:lang w:val="en-US" w:eastAsia="zh-CN"/>
        </w:rPr>
        <w:t>比选</w:t>
      </w:r>
      <w:r>
        <w:rPr>
          <w:rFonts w:ascii="宋体" w:hAnsi="宋体" w:cs="Arial"/>
          <w:b/>
          <w:bCs/>
          <w:szCs w:val="21"/>
        </w:rPr>
        <w:t>人不另行补偿。</w:t>
      </w:r>
    </w:p>
    <w:p w14:paraId="74597AE3">
      <w:pPr>
        <w:spacing w:line="400" w:lineRule="exact"/>
        <w:jc w:val="center"/>
        <w:rPr>
          <w:rFonts w:hint="eastAsia" w:ascii="宋体" w:hAnsi="宋体"/>
          <w:b/>
        </w:rPr>
      </w:pPr>
      <w:bookmarkStart w:id="92" w:name="_Toc352157806"/>
      <w:bookmarkStart w:id="93" w:name="_Toc141675377"/>
      <w:bookmarkStart w:id="94" w:name="_Toc411258073"/>
      <w:bookmarkStart w:id="95" w:name="_Toc348800103"/>
      <w:bookmarkStart w:id="96" w:name="_Toc345927362"/>
      <w:bookmarkStart w:id="97" w:name="_Toc345343638"/>
      <w:bookmarkStart w:id="98" w:name="_Toc513039451"/>
      <w:bookmarkStart w:id="99" w:name="_Toc346207067"/>
      <w:bookmarkStart w:id="100" w:name="_Toc406763728"/>
      <w:bookmarkStart w:id="101" w:name="_Toc324413067"/>
      <w:bookmarkStart w:id="102" w:name="_Toc325622525"/>
      <w:bookmarkStart w:id="103" w:name="_Toc322958537"/>
      <w:bookmarkStart w:id="104" w:name="_Toc325711625"/>
      <w:bookmarkStart w:id="105" w:name="_Toc428969037"/>
      <w:bookmarkStart w:id="106" w:name="_Toc400720542"/>
      <w:r>
        <w:rPr>
          <w:rFonts w:ascii="宋体" w:hAnsi="宋体"/>
          <w:b/>
        </w:rPr>
        <w:t>B</w:t>
      </w:r>
      <w:r>
        <w:rPr>
          <w:rFonts w:hint="eastAsia" w:ascii="宋体" w:hAnsi="宋体"/>
          <w:b/>
        </w:rPr>
        <w:t>比选文件</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27CC4390">
      <w:pPr>
        <w:pStyle w:val="472"/>
        <w:widowControl/>
        <w:adjustRightInd w:val="0"/>
        <w:snapToGrid w:val="0"/>
        <w:spacing w:afterLines="0" w:line="440" w:lineRule="atLeast"/>
        <w:ind w:left="0" w:firstLine="0"/>
        <w:jc w:val="left"/>
        <w:outlineLvl w:val="1"/>
        <w:rPr>
          <w:rFonts w:hint="eastAsia" w:ascii="宋体" w:hAnsi="宋体"/>
          <w:b/>
        </w:rPr>
      </w:pPr>
      <w:bookmarkStart w:id="107" w:name="_Toc325622526"/>
      <w:bookmarkStart w:id="108" w:name="_Toc411258074"/>
      <w:bookmarkStart w:id="109" w:name="_Toc352157807"/>
      <w:bookmarkStart w:id="110" w:name="_Toc428969038"/>
      <w:bookmarkStart w:id="111" w:name="_Toc400720543"/>
      <w:bookmarkStart w:id="112" w:name="_Toc322958538"/>
      <w:bookmarkStart w:id="113" w:name="_Toc346207068"/>
      <w:bookmarkStart w:id="114" w:name="_Toc28740"/>
      <w:bookmarkStart w:id="115" w:name="_Toc9355"/>
      <w:bookmarkStart w:id="116" w:name="_Toc406763729"/>
      <w:bookmarkStart w:id="117" w:name="_Toc325711626"/>
      <w:bookmarkStart w:id="118" w:name="_Toc513039452"/>
      <w:bookmarkStart w:id="119" w:name="_Toc348800104"/>
      <w:bookmarkStart w:id="120" w:name="_Toc141675378"/>
      <w:bookmarkStart w:id="121" w:name="_Toc324413068"/>
      <w:bookmarkStart w:id="122" w:name="_Toc345343639"/>
      <w:bookmarkStart w:id="123" w:name="_Toc17741"/>
      <w:bookmarkStart w:id="124" w:name="_Toc345927363"/>
      <w:bookmarkStart w:id="125" w:name="_Toc29976"/>
      <w:r>
        <w:rPr>
          <w:rFonts w:ascii="宋体" w:hAnsi="宋体"/>
          <w:b/>
        </w:rPr>
        <w:t>4.</w:t>
      </w:r>
      <w:r>
        <w:rPr>
          <w:rFonts w:hint="eastAsia" w:ascii="宋体" w:hAnsi="宋体"/>
          <w:b/>
        </w:rPr>
        <w:t>比选文件</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6248B0C5">
      <w:pPr>
        <w:tabs>
          <w:tab w:val="left" w:pos="1050"/>
          <w:tab w:val="left" w:pos="1470"/>
        </w:tabs>
        <w:adjustRightInd w:val="0"/>
        <w:snapToGrid w:val="0"/>
        <w:spacing w:line="400" w:lineRule="exact"/>
        <w:ind w:firstLine="420" w:firstLineChars="200"/>
        <w:rPr>
          <w:rFonts w:hint="eastAsia" w:ascii="宋体" w:hAnsi="宋体" w:cs="Arial"/>
          <w:szCs w:val="21"/>
        </w:rPr>
      </w:pPr>
      <w:r>
        <w:rPr>
          <w:rFonts w:ascii="宋体" w:hAnsi="宋体" w:cs="Arial"/>
          <w:szCs w:val="21"/>
        </w:rPr>
        <w:t>4.1</w:t>
      </w:r>
      <w:r>
        <w:rPr>
          <w:rFonts w:hint="eastAsia" w:ascii="宋体" w:hAnsi="宋体" w:cs="Arial"/>
          <w:szCs w:val="21"/>
        </w:rPr>
        <w:t>比选文件由比选文件总目录所列内容组成。</w:t>
      </w:r>
    </w:p>
    <w:p w14:paraId="19B25E05">
      <w:pPr>
        <w:tabs>
          <w:tab w:val="left" w:pos="1050"/>
          <w:tab w:val="left" w:pos="1470"/>
        </w:tabs>
        <w:adjustRightInd w:val="0"/>
        <w:snapToGrid w:val="0"/>
        <w:spacing w:line="400" w:lineRule="exact"/>
        <w:ind w:firstLine="420" w:firstLineChars="200"/>
        <w:rPr>
          <w:rFonts w:hint="eastAsia" w:ascii="宋体" w:hAnsi="宋体" w:cs="Arial"/>
          <w:szCs w:val="21"/>
        </w:rPr>
      </w:pPr>
      <w:r>
        <w:rPr>
          <w:rFonts w:ascii="宋体" w:hAnsi="宋体" w:cs="Arial"/>
          <w:szCs w:val="21"/>
        </w:rPr>
        <w:t>4.2</w:t>
      </w:r>
      <w:r>
        <w:rPr>
          <w:rFonts w:hint="eastAsia" w:ascii="宋体" w:hAnsi="宋体" w:cs="Arial"/>
          <w:szCs w:val="21"/>
        </w:rPr>
        <w:t>比选供应商应详细阅读比选文件的全部内容，不按比选文件的要求提供的响应文件和资料，可能导致其比选被拒绝。</w:t>
      </w:r>
    </w:p>
    <w:p w14:paraId="6ACDA13B">
      <w:pPr>
        <w:pStyle w:val="472"/>
        <w:widowControl/>
        <w:adjustRightInd w:val="0"/>
        <w:snapToGrid w:val="0"/>
        <w:spacing w:afterLines="0" w:line="440" w:lineRule="atLeast"/>
        <w:ind w:left="0" w:firstLine="0"/>
        <w:jc w:val="left"/>
        <w:outlineLvl w:val="1"/>
        <w:rPr>
          <w:rFonts w:hint="eastAsia" w:ascii="宋体" w:hAnsi="宋体"/>
          <w:b/>
        </w:rPr>
      </w:pPr>
      <w:bookmarkStart w:id="126" w:name="_Toc4968"/>
      <w:bookmarkStart w:id="127" w:name="_Toc348800105"/>
      <w:bookmarkStart w:id="128" w:name="_Toc8542"/>
      <w:bookmarkStart w:id="129" w:name="_Toc346207069"/>
      <w:bookmarkStart w:id="130" w:name="_Toc26706"/>
      <w:bookmarkStart w:id="131" w:name="_Toc325711627"/>
      <w:bookmarkStart w:id="132" w:name="_Toc406763730"/>
      <w:bookmarkStart w:id="133" w:name="_Toc324413069"/>
      <w:bookmarkStart w:id="134" w:name="_Toc325622527"/>
      <w:bookmarkStart w:id="135" w:name="_Toc345927364"/>
      <w:bookmarkStart w:id="136" w:name="_Toc513039453"/>
      <w:bookmarkStart w:id="137" w:name="_Toc400720544"/>
      <w:bookmarkStart w:id="138" w:name="_Toc322958539"/>
      <w:bookmarkStart w:id="139" w:name="_Toc428969039"/>
      <w:bookmarkStart w:id="140" w:name="_Toc345343640"/>
      <w:bookmarkStart w:id="141" w:name="_Toc141675379"/>
      <w:bookmarkStart w:id="142" w:name="_Toc352157808"/>
      <w:bookmarkStart w:id="143" w:name="_Toc411258075"/>
      <w:bookmarkStart w:id="144" w:name="_Toc18623"/>
      <w:r>
        <w:rPr>
          <w:rFonts w:ascii="宋体" w:hAnsi="宋体"/>
          <w:b/>
        </w:rPr>
        <w:t>5.</w:t>
      </w:r>
      <w:r>
        <w:rPr>
          <w:rFonts w:hint="eastAsia" w:ascii="宋体" w:hAnsi="宋体"/>
          <w:b/>
        </w:rPr>
        <w:t>比选文件的澄清</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6DAF5635">
      <w:pPr>
        <w:tabs>
          <w:tab w:val="left" w:pos="1050"/>
          <w:tab w:val="left" w:pos="1470"/>
        </w:tabs>
        <w:adjustRightInd w:val="0"/>
        <w:spacing w:line="400" w:lineRule="exact"/>
        <w:ind w:firstLine="420" w:firstLineChars="200"/>
        <w:rPr>
          <w:rFonts w:hint="eastAsia" w:ascii="宋体" w:hAnsi="宋体" w:cs="Arial"/>
          <w:szCs w:val="21"/>
        </w:rPr>
      </w:pPr>
      <w:r>
        <w:rPr>
          <w:rFonts w:ascii="宋体" w:hAnsi="宋体" w:cs="Arial"/>
          <w:szCs w:val="21"/>
        </w:rPr>
        <w:t>5.1</w:t>
      </w:r>
      <w:r>
        <w:rPr>
          <w:rFonts w:hint="eastAsia" w:ascii="宋体" w:hAnsi="宋体" w:cs="Arial"/>
          <w:szCs w:val="21"/>
        </w:rPr>
        <w:t>比选供应商应并认真仔细阅读比选文件中所有的事项、条款、格式和技术要求及规格等全部内容，比选供应商没有按照比选文件要求提交全部资料，或者响应文件没有对比选文件作出实质性响应，是比选供应商的风险，并可能导致其比选被拒绝。</w:t>
      </w:r>
    </w:p>
    <w:p w14:paraId="7A8B202B">
      <w:pPr>
        <w:tabs>
          <w:tab w:val="left" w:pos="1050"/>
          <w:tab w:val="left" w:pos="1470"/>
        </w:tabs>
        <w:adjustRightInd w:val="0"/>
        <w:spacing w:line="400" w:lineRule="exact"/>
        <w:ind w:firstLine="420" w:firstLineChars="200"/>
        <w:rPr>
          <w:rFonts w:hint="eastAsia" w:ascii="宋体" w:hAnsi="宋体" w:cs="Arial"/>
          <w:szCs w:val="21"/>
        </w:rPr>
      </w:pPr>
      <w:r>
        <w:rPr>
          <w:rFonts w:ascii="宋体" w:hAnsi="宋体" w:cs="Arial"/>
          <w:szCs w:val="21"/>
        </w:rPr>
        <w:t>5.2</w:t>
      </w:r>
      <w:r>
        <w:rPr>
          <w:rFonts w:hint="eastAsia" w:ascii="宋体" w:hAnsi="宋体" w:cs="Arial"/>
          <w:szCs w:val="21"/>
        </w:rPr>
        <w:t>任何要求对比选文件进行澄清的潜在比选供应商，均应在比选供应商须知前附表规定的时间前向比选人或比选代理机构提出。</w:t>
      </w:r>
    </w:p>
    <w:p w14:paraId="465E07A2">
      <w:pPr>
        <w:tabs>
          <w:tab w:val="left" w:pos="1050"/>
          <w:tab w:val="left" w:pos="1470"/>
        </w:tabs>
        <w:adjustRightInd w:val="0"/>
        <w:spacing w:line="400" w:lineRule="exact"/>
        <w:ind w:firstLine="420" w:firstLineChars="200"/>
        <w:rPr>
          <w:rFonts w:hint="eastAsia" w:ascii="宋体" w:hAnsi="宋体" w:cs="Arial"/>
          <w:szCs w:val="21"/>
        </w:rPr>
      </w:pPr>
      <w:r>
        <w:rPr>
          <w:rFonts w:ascii="宋体" w:hAnsi="宋体" w:cs="Arial"/>
          <w:szCs w:val="21"/>
        </w:rPr>
        <w:t>5.3</w:t>
      </w:r>
      <w:r>
        <w:rPr>
          <w:rFonts w:hint="eastAsia" w:ascii="宋体" w:hAnsi="宋体" w:cs="Arial"/>
          <w:szCs w:val="21"/>
        </w:rPr>
        <w:t>比选人对比选供应商所提质疑和澄清问题的回答内容将在比选供应商须知前附表规定的时间向比选供应商发出。</w:t>
      </w:r>
    </w:p>
    <w:p w14:paraId="2057AEFD">
      <w:pPr>
        <w:pStyle w:val="472"/>
        <w:widowControl/>
        <w:adjustRightInd w:val="0"/>
        <w:snapToGrid w:val="0"/>
        <w:spacing w:afterLines="0" w:line="440" w:lineRule="atLeast"/>
        <w:ind w:left="0" w:firstLine="0"/>
        <w:jc w:val="left"/>
        <w:outlineLvl w:val="1"/>
        <w:rPr>
          <w:rFonts w:hint="eastAsia" w:ascii="宋体" w:hAnsi="宋体"/>
          <w:b/>
        </w:rPr>
      </w:pPr>
      <w:bookmarkStart w:id="145" w:name="_Toc352157809"/>
      <w:bookmarkStart w:id="146" w:name="_Toc10088"/>
      <w:bookmarkStart w:id="147" w:name="_Toc325711628"/>
      <w:bookmarkStart w:id="148" w:name="_Toc325622528"/>
      <w:bookmarkStart w:id="149" w:name="_Toc346207070"/>
      <w:bookmarkStart w:id="150" w:name="_Toc428969040"/>
      <w:bookmarkStart w:id="151" w:name="_Toc20053"/>
      <w:bookmarkStart w:id="152" w:name="_Toc406763731"/>
      <w:bookmarkStart w:id="153" w:name="_Toc345343641"/>
      <w:bookmarkStart w:id="154" w:name="_Toc400720545"/>
      <w:bookmarkStart w:id="155" w:name="_Toc348800106"/>
      <w:bookmarkStart w:id="156" w:name="_Toc411258076"/>
      <w:bookmarkStart w:id="157" w:name="_Toc345927365"/>
      <w:bookmarkStart w:id="158" w:name="_Toc324413070"/>
      <w:bookmarkStart w:id="159" w:name="_Toc1888"/>
      <w:bookmarkStart w:id="160" w:name="_Toc322958540"/>
      <w:bookmarkStart w:id="161" w:name="_Toc141675380"/>
      <w:bookmarkStart w:id="162" w:name="_Toc513039454"/>
      <w:bookmarkStart w:id="163" w:name="_Toc9885"/>
      <w:r>
        <w:rPr>
          <w:rFonts w:ascii="宋体" w:hAnsi="宋体"/>
          <w:b/>
        </w:rPr>
        <w:t>6.</w:t>
      </w:r>
      <w:r>
        <w:rPr>
          <w:rFonts w:hint="eastAsia" w:ascii="宋体" w:hAnsi="宋体"/>
          <w:b/>
        </w:rPr>
        <w:t>比选文件的修改</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5EE0F148">
      <w:pPr>
        <w:tabs>
          <w:tab w:val="left" w:pos="1050"/>
          <w:tab w:val="left" w:pos="1470"/>
        </w:tabs>
        <w:adjustRightInd w:val="0"/>
        <w:snapToGrid w:val="0"/>
        <w:spacing w:line="400" w:lineRule="exact"/>
        <w:ind w:firstLine="420" w:firstLineChars="200"/>
        <w:rPr>
          <w:rFonts w:hint="eastAsia" w:ascii="宋体" w:hAnsi="宋体" w:cs="Arial"/>
          <w:szCs w:val="21"/>
        </w:rPr>
      </w:pPr>
      <w:r>
        <w:rPr>
          <w:rFonts w:ascii="宋体" w:hAnsi="宋体" w:cs="Arial"/>
          <w:szCs w:val="21"/>
        </w:rPr>
        <w:t>6.1</w:t>
      </w:r>
      <w:r>
        <w:rPr>
          <w:rFonts w:hint="eastAsia" w:ascii="宋体" w:hAnsi="宋体" w:cs="Arial"/>
          <w:szCs w:val="21"/>
        </w:rPr>
        <w:t>比选文件如果有修改和答疑，比选人可以按比选供应商须知前附表规定的形式修改比选文件或答疑补疑。</w:t>
      </w:r>
    </w:p>
    <w:p w14:paraId="76953B08">
      <w:pPr>
        <w:spacing w:line="400" w:lineRule="exact"/>
        <w:jc w:val="center"/>
        <w:rPr>
          <w:rFonts w:hint="eastAsia" w:ascii="宋体" w:hAnsi="宋体"/>
          <w:b/>
        </w:rPr>
      </w:pPr>
      <w:bookmarkStart w:id="164" w:name="_Toc346207071"/>
      <w:bookmarkStart w:id="165" w:name="_Toc406763732"/>
      <w:bookmarkStart w:id="166" w:name="_Toc400720546"/>
      <w:bookmarkStart w:id="167" w:name="_Toc411258077"/>
      <w:bookmarkStart w:id="168" w:name="_Toc345343642"/>
      <w:bookmarkStart w:id="169" w:name="_Toc348800107"/>
      <w:bookmarkStart w:id="170" w:name="_Toc345927366"/>
      <w:bookmarkStart w:id="171" w:name="_Toc428969041"/>
      <w:bookmarkStart w:id="172" w:name="_Toc352157810"/>
      <w:bookmarkStart w:id="173" w:name="_Toc141675381"/>
      <w:bookmarkStart w:id="174" w:name="_Toc324413071"/>
      <w:bookmarkStart w:id="175" w:name="_Toc325622529"/>
      <w:bookmarkStart w:id="176" w:name="_Toc513039455"/>
      <w:bookmarkStart w:id="177" w:name="_Toc322958541"/>
      <w:bookmarkStart w:id="178" w:name="_Toc325711629"/>
      <w:r>
        <w:rPr>
          <w:rFonts w:ascii="宋体" w:hAnsi="宋体"/>
          <w:b/>
        </w:rPr>
        <w:t>C</w:t>
      </w:r>
      <w:r>
        <w:rPr>
          <w:rFonts w:hint="eastAsia" w:ascii="宋体" w:hAnsi="宋体"/>
          <w:b/>
        </w:rPr>
        <w:t>响应文件</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5606A6FA">
      <w:pPr>
        <w:pStyle w:val="472"/>
        <w:widowControl/>
        <w:adjustRightInd w:val="0"/>
        <w:snapToGrid w:val="0"/>
        <w:spacing w:afterLines="0" w:line="440" w:lineRule="atLeast"/>
        <w:ind w:left="0" w:firstLine="0"/>
        <w:jc w:val="left"/>
        <w:outlineLvl w:val="1"/>
        <w:rPr>
          <w:rFonts w:hint="eastAsia" w:ascii="宋体" w:hAnsi="宋体"/>
          <w:b/>
        </w:rPr>
      </w:pPr>
      <w:bookmarkStart w:id="179" w:name="_Toc345343643"/>
      <w:bookmarkStart w:id="180" w:name="_Toc324413072"/>
      <w:bookmarkStart w:id="181" w:name="_Toc406763733"/>
      <w:bookmarkStart w:id="182" w:name="_Toc17803"/>
      <w:bookmarkStart w:id="183" w:name="_Toc400720547"/>
      <w:bookmarkStart w:id="184" w:name="_Toc12171"/>
      <w:bookmarkStart w:id="185" w:name="_Toc513039456"/>
      <w:bookmarkStart w:id="186" w:name="_Toc16949"/>
      <w:bookmarkStart w:id="187" w:name="_Toc345927367"/>
      <w:bookmarkStart w:id="188" w:name="_Toc322958542"/>
      <w:bookmarkStart w:id="189" w:name="_Toc352157811"/>
      <w:bookmarkStart w:id="190" w:name="_Toc325622530"/>
      <w:bookmarkStart w:id="191" w:name="_Toc325711630"/>
      <w:bookmarkStart w:id="192" w:name="_Toc141675382"/>
      <w:bookmarkStart w:id="193" w:name="_Toc428969042"/>
      <w:bookmarkStart w:id="194" w:name="_Toc18532"/>
      <w:bookmarkStart w:id="195" w:name="_Toc348800108"/>
      <w:bookmarkStart w:id="196" w:name="_Toc411258078"/>
      <w:bookmarkStart w:id="197" w:name="_Toc346207072"/>
      <w:r>
        <w:rPr>
          <w:rFonts w:ascii="宋体" w:hAnsi="宋体"/>
          <w:b/>
        </w:rPr>
        <w:t>7</w:t>
      </w:r>
      <w:r>
        <w:rPr>
          <w:rFonts w:hint="eastAsia" w:ascii="宋体" w:hAnsi="宋体"/>
          <w:b/>
        </w:rPr>
        <w:t>.响应文件计量单位</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14:paraId="5840B570">
      <w:pPr>
        <w:tabs>
          <w:tab w:val="left" w:pos="1050"/>
          <w:tab w:val="left" w:pos="1470"/>
        </w:tabs>
        <w:adjustRightInd w:val="0"/>
        <w:snapToGrid w:val="0"/>
        <w:spacing w:line="400" w:lineRule="exact"/>
        <w:ind w:firstLine="420" w:firstLineChars="200"/>
        <w:rPr>
          <w:rFonts w:hint="eastAsia" w:ascii="宋体" w:hAnsi="宋体" w:cs="Arial"/>
          <w:szCs w:val="21"/>
        </w:rPr>
      </w:pPr>
      <w:r>
        <w:rPr>
          <w:rFonts w:ascii="宋体" w:hAnsi="宋体" w:cs="Arial"/>
          <w:szCs w:val="21"/>
        </w:rPr>
        <w:t>7.1</w:t>
      </w:r>
      <w:r>
        <w:rPr>
          <w:rFonts w:hint="eastAsia" w:ascii="宋体" w:hAnsi="宋体" w:cs="Arial"/>
          <w:szCs w:val="21"/>
        </w:rPr>
        <w:t>响应文件中所使用的计量单位，除比选文件中有特殊要求外，应采用国家法定计量单位。</w:t>
      </w:r>
    </w:p>
    <w:p w14:paraId="457D63C0">
      <w:pPr>
        <w:pStyle w:val="472"/>
        <w:widowControl/>
        <w:adjustRightInd w:val="0"/>
        <w:snapToGrid w:val="0"/>
        <w:spacing w:afterLines="0" w:line="440" w:lineRule="atLeast"/>
        <w:ind w:left="0" w:firstLine="0"/>
        <w:jc w:val="left"/>
        <w:outlineLvl w:val="1"/>
        <w:rPr>
          <w:rFonts w:hint="eastAsia" w:ascii="宋体" w:hAnsi="宋体"/>
          <w:b/>
        </w:rPr>
      </w:pPr>
      <w:bookmarkStart w:id="198" w:name="_Toc406763734"/>
      <w:bookmarkStart w:id="199" w:name="_Toc141675383"/>
      <w:bookmarkStart w:id="200" w:name="_Toc26436"/>
      <w:bookmarkStart w:id="201" w:name="_Toc1719"/>
      <w:bookmarkStart w:id="202" w:name="_Toc346207073"/>
      <w:bookmarkStart w:id="203" w:name="_Toc400720548"/>
      <w:bookmarkStart w:id="204" w:name="_Toc345343644"/>
      <w:bookmarkStart w:id="205" w:name="_Toc513039457"/>
      <w:bookmarkStart w:id="206" w:name="_Toc324413073"/>
      <w:bookmarkStart w:id="207" w:name="_Toc411258079"/>
      <w:bookmarkStart w:id="208" w:name="_Toc322958543"/>
      <w:bookmarkStart w:id="209" w:name="_Toc26722"/>
      <w:bookmarkStart w:id="210" w:name="_Toc352157812"/>
      <w:bookmarkStart w:id="211" w:name="_Toc325711631"/>
      <w:bookmarkStart w:id="212" w:name="_Toc348800109"/>
      <w:bookmarkStart w:id="213" w:name="_Toc914"/>
      <w:bookmarkStart w:id="214" w:name="_Toc325622531"/>
      <w:bookmarkStart w:id="215" w:name="_Toc345927368"/>
      <w:bookmarkStart w:id="216" w:name="_Toc428969043"/>
      <w:r>
        <w:rPr>
          <w:rFonts w:ascii="宋体" w:hAnsi="宋体"/>
          <w:b/>
        </w:rPr>
        <w:t>8.</w:t>
      </w:r>
      <w:r>
        <w:rPr>
          <w:rFonts w:hint="eastAsia" w:ascii="宋体" w:hAnsi="宋体"/>
          <w:b/>
        </w:rPr>
        <w:t>响应文件的组成</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7668A353">
      <w:pPr>
        <w:pStyle w:val="38"/>
        <w:spacing w:line="400" w:lineRule="exact"/>
        <w:ind w:firstLine="420" w:firstLineChars="200"/>
        <w:rPr>
          <w:rFonts w:hint="eastAsia" w:hAnsi="宋体"/>
          <w:szCs w:val="21"/>
        </w:rPr>
      </w:pPr>
      <w:bookmarkStart w:id="217" w:name="_Toc346207074"/>
      <w:bookmarkStart w:id="218" w:name="_Toc345343645"/>
      <w:bookmarkStart w:id="219" w:name="_Toc322958544"/>
      <w:bookmarkStart w:id="220" w:name="_Toc400720549"/>
      <w:bookmarkStart w:id="221" w:name="_Toc348800110"/>
      <w:bookmarkStart w:id="222" w:name="_Toc141675384"/>
      <w:bookmarkStart w:id="223" w:name="_Toc324413074"/>
      <w:bookmarkStart w:id="224" w:name="_Toc325622532"/>
      <w:bookmarkStart w:id="225" w:name="_Toc352157813"/>
      <w:bookmarkStart w:id="226" w:name="_Toc345927369"/>
      <w:bookmarkStart w:id="227" w:name="_Toc325711632"/>
      <w:bookmarkStart w:id="228" w:name="_Toc406763735"/>
      <w:r>
        <w:rPr>
          <w:rFonts w:hint="eastAsia" w:hAnsi="宋体"/>
          <w:szCs w:val="21"/>
        </w:rPr>
        <w:t>见比选供应商须知前附表。</w:t>
      </w:r>
    </w:p>
    <w:p w14:paraId="274E9A8B">
      <w:pPr>
        <w:pStyle w:val="472"/>
        <w:widowControl/>
        <w:adjustRightInd w:val="0"/>
        <w:snapToGrid w:val="0"/>
        <w:spacing w:afterLines="0" w:line="440" w:lineRule="atLeast"/>
        <w:ind w:left="0" w:firstLine="0"/>
        <w:jc w:val="left"/>
        <w:outlineLvl w:val="1"/>
        <w:rPr>
          <w:rFonts w:hint="eastAsia" w:ascii="宋体" w:hAnsi="宋体"/>
          <w:b/>
        </w:rPr>
      </w:pPr>
      <w:bookmarkStart w:id="229" w:name="_Toc411258080"/>
      <w:bookmarkStart w:id="230" w:name="_Toc11966"/>
      <w:bookmarkStart w:id="231" w:name="_Toc7686"/>
      <w:bookmarkStart w:id="232" w:name="_Toc428969044"/>
      <w:bookmarkStart w:id="233" w:name="_Toc513039458"/>
      <w:bookmarkStart w:id="234" w:name="_Toc8025"/>
      <w:bookmarkStart w:id="235" w:name="_Toc1968"/>
      <w:r>
        <w:rPr>
          <w:rFonts w:ascii="宋体" w:hAnsi="宋体"/>
          <w:b/>
        </w:rPr>
        <w:t>9.</w:t>
      </w:r>
      <w:r>
        <w:rPr>
          <w:rFonts w:hint="eastAsia" w:ascii="宋体" w:hAnsi="宋体"/>
          <w:b/>
        </w:rPr>
        <w:t>响应文件填写说明</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0D8B95D9">
      <w:pPr>
        <w:tabs>
          <w:tab w:val="left" w:pos="1050"/>
          <w:tab w:val="left" w:pos="1470"/>
        </w:tabs>
        <w:adjustRightInd w:val="0"/>
        <w:snapToGrid w:val="0"/>
        <w:spacing w:line="400" w:lineRule="exact"/>
        <w:ind w:firstLine="420" w:firstLineChars="200"/>
        <w:rPr>
          <w:rFonts w:hint="eastAsia" w:ascii="宋体" w:hAnsi="宋体" w:cs="Arial"/>
          <w:szCs w:val="21"/>
        </w:rPr>
      </w:pPr>
      <w:r>
        <w:rPr>
          <w:rFonts w:ascii="宋体" w:hAnsi="宋体" w:cs="Arial"/>
          <w:szCs w:val="21"/>
        </w:rPr>
        <w:t>9.1</w:t>
      </w:r>
      <w:r>
        <w:rPr>
          <w:rFonts w:hint="eastAsia" w:ascii="宋体" w:hAnsi="宋体" w:cs="Arial"/>
          <w:szCs w:val="21"/>
        </w:rPr>
        <w:t>响应文件用</w:t>
      </w:r>
      <w:r>
        <w:rPr>
          <w:rFonts w:ascii="宋体" w:hAnsi="宋体" w:cs="Arial"/>
          <w:szCs w:val="21"/>
        </w:rPr>
        <w:t>A4</w:t>
      </w:r>
      <w:r>
        <w:rPr>
          <w:rFonts w:hint="eastAsia" w:ascii="宋体" w:hAnsi="宋体" w:cs="Arial"/>
          <w:szCs w:val="21"/>
        </w:rPr>
        <w:t>幅面按统一格式填写，装订成册。</w:t>
      </w:r>
    </w:p>
    <w:p w14:paraId="3F006705">
      <w:pPr>
        <w:pStyle w:val="472"/>
        <w:widowControl/>
        <w:adjustRightInd w:val="0"/>
        <w:snapToGrid w:val="0"/>
        <w:spacing w:afterLines="0" w:line="440" w:lineRule="atLeast"/>
        <w:ind w:left="0" w:firstLine="0"/>
        <w:jc w:val="left"/>
        <w:outlineLvl w:val="1"/>
        <w:rPr>
          <w:rFonts w:hint="eastAsia" w:ascii="宋体" w:hAnsi="宋体"/>
          <w:b/>
        </w:rPr>
      </w:pPr>
      <w:bookmarkStart w:id="236" w:name="_Toc141675385"/>
      <w:bookmarkStart w:id="237" w:name="_Toc322958545"/>
      <w:bookmarkStart w:id="238" w:name="_Toc345343646"/>
      <w:bookmarkStart w:id="239" w:name="_Toc29779"/>
      <w:bookmarkStart w:id="240" w:name="_Toc428969045"/>
      <w:bookmarkStart w:id="241" w:name="_Toc345927370"/>
      <w:bookmarkStart w:id="242" w:name="_Toc411258081"/>
      <w:bookmarkStart w:id="243" w:name="_Toc6609"/>
      <w:bookmarkStart w:id="244" w:name="_Toc325622533"/>
      <w:bookmarkStart w:id="245" w:name="_Toc352157814"/>
      <w:bookmarkStart w:id="246" w:name="_Toc1318"/>
      <w:bookmarkStart w:id="247" w:name="_Toc346207075"/>
      <w:bookmarkStart w:id="248" w:name="_Toc400720550"/>
      <w:bookmarkStart w:id="249" w:name="_Toc513039459"/>
      <w:bookmarkStart w:id="250" w:name="_Toc16400"/>
      <w:bookmarkStart w:id="251" w:name="_Toc325711633"/>
      <w:bookmarkStart w:id="252" w:name="_Toc406763736"/>
      <w:bookmarkStart w:id="253" w:name="_Toc324413075"/>
      <w:bookmarkStart w:id="254" w:name="_Toc348800111"/>
      <w:r>
        <w:rPr>
          <w:rFonts w:ascii="宋体" w:hAnsi="宋体"/>
          <w:b/>
        </w:rPr>
        <w:t>10.</w:t>
      </w:r>
      <w:r>
        <w:rPr>
          <w:rFonts w:hint="eastAsia" w:ascii="宋体" w:hAnsi="宋体"/>
          <w:b/>
        </w:rPr>
        <w:t>响应文件附件的编制及编目</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14:paraId="0D7D05B5">
      <w:pPr>
        <w:tabs>
          <w:tab w:val="left" w:pos="1050"/>
          <w:tab w:val="left" w:pos="1470"/>
        </w:tabs>
        <w:adjustRightInd w:val="0"/>
        <w:snapToGrid w:val="0"/>
        <w:spacing w:line="400" w:lineRule="exact"/>
        <w:ind w:firstLine="420" w:firstLineChars="200"/>
        <w:rPr>
          <w:rFonts w:hint="eastAsia" w:ascii="宋体" w:hAnsi="宋体" w:cs="Arial"/>
          <w:szCs w:val="21"/>
        </w:rPr>
      </w:pPr>
      <w:r>
        <w:rPr>
          <w:rFonts w:ascii="宋体" w:hAnsi="宋体" w:cs="Arial"/>
          <w:szCs w:val="21"/>
        </w:rPr>
        <w:t>10.1</w:t>
      </w:r>
      <w:r>
        <w:rPr>
          <w:rFonts w:hint="eastAsia" w:ascii="宋体" w:hAnsi="宋体" w:cs="Arial"/>
          <w:szCs w:val="21"/>
        </w:rPr>
        <w:t>响应文件附件由比选供应商视需要自行编制。规格幅面应与正文一致，附于正文之后，与正文页码统一编目编码装订。</w:t>
      </w:r>
    </w:p>
    <w:p w14:paraId="1050B0E5">
      <w:pPr>
        <w:pStyle w:val="472"/>
        <w:widowControl/>
        <w:adjustRightInd w:val="0"/>
        <w:snapToGrid w:val="0"/>
        <w:spacing w:afterLines="0" w:line="440" w:lineRule="atLeast"/>
        <w:ind w:left="0" w:firstLine="0"/>
        <w:jc w:val="left"/>
        <w:outlineLvl w:val="1"/>
        <w:rPr>
          <w:rFonts w:hint="eastAsia" w:ascii="宋体" w:hAnsi="宋体"/>
          <w:b/>
        </w:rPr>
      </w:pPr>
      <w:bookmarkStart w:id="255" w:name="_Toc400720551"/>
      <w:bookmarkStart w:id="256" w:name="_Toc2996"/>
      <w:bookmarkStart w:id="257" w:name="_Toc406763737"/>
      <w:bookmarkStart w:id="258" w:name="_Toc346207076"/>
      <w:bookmarkStart w:id="259" w:name="_Toc30912"/>
      <w:bookmarkStart w:id="260" w:name="_Toc325711634"/>
      <w:bookmarkStart w:id="261" w:name="_Toc322958546"/>
      <w:bookmarkStart w:id="262" w:name="_Toc2056"/>
      <w:bookmarkStart w:id="263" w:name="_Toc345927371"/>
      <w:bookmarkStart w:id="264" w:name="_Toc411258082"/>
      <w:bookmarkStart w:id="265" w:name="_Toc345343647"/>
      <w:bookmarkStart w:id="266" w:name="_Toc348800112"/>
      <w:bookmarkStart w:id="267" w:name="_Toc324413076"/>
      <w:bookmarkStart w:id="268" w:name="_Toc325622534"/>
      <w:bookmarkStart w:id="269" w:name="_Toc428969046"/>
      <w:bookmarkStart w:id="270" w:name="_Toc141675386"/>
      <w:bookmarkStart w:id="271" w:name="_Toc11201"/>
      <w:bookmarkStart w:id="272" w:name="_Toc352157815"/>
      <w:bookmarkStart w:id="273" w:name="_Toc513039460"/>
      <w:r>
        <w:rPr>
          <w:rFonts w:ascii="宋体" w:hAnsi="宋体"/>
          <w:b/>
        </w:rPr>
        <w:t>11.</w:t>
      </w:r>
      <w:r>
        <w:rPr>
          <w:rFonts w:hint="eastAsia" w:ascii="宋体" w:hAnsi="宋体"/>
          <w:b/>
        </w:rPr>
        <w:t>比选报价</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14:paraId="029F0741">
      <w:pPr>
        <w:tabs>
          <w:tab w:val="left" w:pos="1050"/>
          <w:tab w:val="left" w:pos="1470"/>
        </w:tabs>
        <w:adjustRightInd w:val="0"/>
        <w:snapToGrid w:val="0"/>
        <w:spacing w:line="400" w:lineRule="exact"/>
        <w:ind w:firstLine="420" w:firstLineChars="200"/>
        <w:rPr>
          <w:rFonts w:hint="eastAsia" w:ascii="宋体" w:hAnsi="宋体" w:cs="Arial"/>
          <w:szCs w:val="21"/>
        </w:rPr>
      </w:pPr>
      <w:r>
        <w:rPr>
          <w:rFonts w:ascii="宋体" w:hAnsi="宋体" w:cs="Arial"/>
          <w:szCs w:val="21"/>
        </w:rPr>
        <w:t>11.1</w:t>
      </w:r>
      <w:r>
        <w:rPr>
          <w:rFonts w:hint="eastAsia" w:ascii="宋体" w:hAnsi="宋体" w:cs="Arial"/>
          <w:szCs w:val="21"/>
        </w:rPr>
        <w:t>所有比选价均以人民币报价。</w:t>
      </w:r>
    </w:p>
    <w:p w14:paraId="29E5F5B9">
      <w:pPr>
        <w:tabs>
          <w:tab w:val="left" w:pos="1050"/>
          <w:tab w:val="left" w:pos="1470"/>
        </w:tabs>
        <w:adjustRightInd w:val="0"/>
        <w:snapToGrid w:val="0"/>
        <w:spacing w:line="400" w:lineRule="exact"/>
        <w:ind w:firstLine="420" w:firstLineChars="200"/>
        <w:rPr>
          <w:rFonts w:hint="eastAsia" w:ascii="宋体" w:hAnsi="宋体" w:cs="Arial"/>
          <w:szCs w:val="21"/>
        </w:rPr>
      </w:pPr>
      <w:r>
        <w:rPr>
          <w:rFonts w:ascii="宋体" w:hAnsi="宋体" w:cs="Arial"/>
          <w:szCs w:val="21"/>
        </w:rPr>
        <w:t>11.2</w:t>
      </w:r>
      <w:r>
        <w:rPr>
          <w:rFonts w:hint="eastAsia" w:ascii="宋体" w:hAnsi="宋体" w:cs="Arial"/>
          <w:szCs w:val="21"/>
        </w:rPr>
        <w:t>比选供应商要填写价格及其他事项，并由法定代表人</w:t>
      </w:r>
      <w:r>
        <w:rPr>
          <w:rFonts w:hint="eastAsia" w:hAnsi="宋体" w:cs="宋体"/>
          <w:szCs w:val="21"/>
        </w:rPr>
        <w:t>（或单位负责人）</w:t>
      </w:r>
      <w:r>
        <w:rPr>
          <w:rFonts w:hint="eastAsia" w:ascii="宋体" w:hAnsi="宋体" w:cs="Arial"/>
          <w:szCs w:val="21"/>
        </w:rPr>
        <w:t>或其授权代表签署。</w:t>
      </w:r>
    </w:p>
    <w:p w14:paraId="76107B05">
      <w:pPr>
        <w:tabs>
          <w:tab w:val="left" w:pos="1050"/>
          <w:tab w:val="left" w:pos="1470"/>
        </w:tabs>
        <w:adjustRightInd w:val="0"/>
        <w:snapToGrid w:val="0"/>
        <w:spacing w:line="400" w:lineRule="exact"/>
        <w:ind w:firstLine="420" w:firstLineChars="200"/>
        <w:rPr>
          <w:rFonts w:hint="eastAsia" w:ascii="宋体" w:hAnsi="宋体" w:cs="Arial"/>
          <w:szCs w:val="21"/>
        </w:rPr>
      </w:pPr>
      <w:r>
        <w:rPr>
          <w:rFonts w:hint="eastAsia" w:ascii="宋体" w:hAnsi="宋体" w:cs="Arial"/>
          <w:szCs w:val="21"/>
        </w:rPr>
        <w:t>11.3比选报价：详见比选供应商须知前附表。</w:t>
      </w:r>
    </w:p>
    <w:p w14:paraId="714C643A">
      <w:pPr>
        <w:pStyle w:val="472"/>
        <w:widowControl/>
        <w:adjustRightInd w:val="0"/>
        <w:snapToGrid w:val="0"/>
        <w:spacing w:afterLines="0" w:line="440" w:lineRule="atLeast"/>
        <w:ind w:left="0" w:firstLine="0"/>
        <w:jc w:val="left"/>
        <w:outlineLvl w:val="1"/>
        <w:rPr>
          <w:rFonts w:hint="eastAsia" w:ascii="宋体" w:hAnsi="宋体"/>
          <w:b/>
        </w:rPr>
      </w:pPr>
      <w:bookmarkStart w:id="274" w:name="_Toc325711635"/>
      <w:bookmarkStart w:id="275" w:name="_Toc325622535"/>
      <w:bookmarkStart w:id="276" w:name="_Toc899"/>
      <w:bookmarkStart w:id="277" w:name="_Toc141675387"/>
      <w:bookmarkStart w:id="278" w:name="_Toc411258083"/>
      <w:bookmarkStart w:id="279" w:name="_Toc400720552"/>
      <w:bookmarkStart w:id="280" w:name="_Toc406763738"/>
      <w:bookmarkStart w:id="281" w:name="_Toc322958547"/>
      <w:bookmarkStart w:id="282" w:name="_Toc345927372"/>
      <w:bookmarkStart w:id="283" w:name="_Toc346207077"/>
      <w:bookmarkStart w:id="284" w:name="_Toc345343648"/>
      <w:bookmarkStart w:id="285" w:name="_Toc348800113"/>
      <w:bookmarkStart w:id="286" w:name="_Toc30054"/>
      <w:bookmarkStart w:id="287" w:name="_Toc324413077"/>
      <w:bookmarkStart w:id="288" w:name="_Toc428969047"/>
      <w:bookmarkStart w:id="289" w:name="_Toc31545"/>
      <w:bookmarkStart w:id="290" w:name="_Toc27089"/>
      <w:bookmarkStart w:id="291" w:name="_Toc513039461"/>
      <w:bookmarkStart w:id="292" w:name="_Toc352157816"/>
      <w:r>
        <w:rPr>
          <w:rFonts w:ascii="宋体" w:hAnsi="宋体"/>
          <w:b/>
        </w:rPr>
        <w:t>12.</w:t>
      </w:r>
      <w:r>
        <w:rPr>
          <w:rFonts w:hint="eastAsia" w:ascii="宋体" w:hAnsi="宋体"/>
          <w:b/>
        </w:rPr>
        <w:t>比选保证金</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1AADF730">
      <w:pPr>
        <w:tabs>
          <w:tab w:val="left" w:pos="1050"/>
          <w:tab w:val="left" w:pos="1470"/>
        </w:tabs>
        <w:adjustRightInd w:val="0"/>
        <w:snapToGrid w:val="0"/>
        <w:spacing w:line="400" w:lineRule="exact"/>
        <w:ind w:firstLine="420" w:firstLineChars="200"/>
        <w:rPr>
          <w:rFonts w:hint="eastAsia" w:ascii="宋体" w:hAnsi="宋体" w:cs="Arial"/>
          <w:szCs w:val="21"/>
        </w:rPr>
      </w:pPr>
      <w:r>
        <w:rPr>
          <w:rFonts w:ascii="宋体" w:hAnsi="宋体" w:cs="Arial"/>
          <w:szCs w:val="21"/>
        </w:rPr>
        <w:t>12.1</w:t>
      </w:r>
      <w:r>
        <w:rPr>
          <w:rFonts w:hint="eastAsia" w:ascii="宋体" w:hAnsi="宋体" w:cs="Arial"/>
          <w:szCs w:val="21"/>
        </w:rPr>
        <w:t>本项目约定比选供应商应提供的比选保证金金额、提交方式、比选保证金到账截止时间、比选保证金有效期详见比选供应商须知前附表。</w:t>
      </w:r>
    </w:p>
    <w:p w14:paraId="1EF0B87E">
      <w:pPr>
        <w:tabs>
          <w:tab w:val="left" w:pos="1050"/>
          <w:tab w:val="left" w:pos="1470"/>
        </w:tabs>
        <w:adjustRightInd w:val="0"/>
        <w:snapToGrid w:val="0"/>
        <w:spacing w:line="400" w:lineRule="exact"/>
        <w:ind w:firstLine="420" w:firstLineChars="200"/>
        <w:rPr>
          <w:rFonts w:hint="eastAsia" w:ascii="宋体" w:hAnsi="宋体" w:cs="Arial"/>
          <w:szCs w:val="21"/>
        </w:rPr>
      </w:pPr>
      <w:r>
        <w:rPr>
          <w:rFonts w:ascii="宋体" w:hAnsi="宋体" w:cs="Arial"/>
          <w:szCs w:val="21"/>
        </w:rPr>
        <w:t>12.2</w:t>
      </w:r>
      <w:r>
        <w:rPr>
          <w:rFonts w:hint="eastAsia" w:ascii="宋体" w:hAnsi="宋体" w:cs="Arial"/>
          <w:szCs w:val="21"/>
        </w:rPr>
        <w:t>比选保证金可采用形式：具体详见比选供应商须知前附表。</w:t>
      </w:r>
    </w:p>
    <w:p w14:paraId="13E27B44">
      <w:pPr>
        <w:tabs>
          <w:tab w:val="left" w:pos="1050"/>
          <w:tab w:val="left" w:pos="1470"/>
        </w:tabs>
        <w:adjustRightInd w:val="0"/>
        <w:snapToGrid w:val="0"/>
        <w:spacing w:line="400" w:lineRule="exact"/>
        <w:ind w:firstLine="420" w:firstLineChars="200"/>
        <w:rPr>
          <w:rFonts w:hint="eastAsia" w:ascii="宋体" w:hAnsi="宋体" w:cs="Arial"/>
          <w:szCs w:val="21"/>
        </w:rPr>
      </w:pPr>
      <w:r>
        <w:rPr>
          <w:rFonts w:ascii="宋体" w:hAnsi="宋体" w:cs="Arial"/>
          <w:szCs w:val="21"/>
        </w:rPr>
        <w:t>12.3</w:t>
      </w:r>
      <w:r>
        <w:rPr>
          <w:rFonts w:hint="eastAsia" w:ascii="宋体" w:hAnsi="宋体" w:cs="Arial"/>
          <w:szCs w:val="21"/>
        </w:rPr>
        <w:t>未按比选供应商须知前附表的要求提交比选保证金的，将被视为比选无效。</w:t>
      </w:r>
    </w:p>
    <w:p w14:paraId="729F89BC">
      <w:pPr>
        <w:tabs>
          <w:tab w:val="left" w:pos="1050"/>
          <w:tab w:val="left" w:pos="1470"/>
        </w:tabs>
        <w:adjustRightInd w:val="0"/>
        <w:snapToGrid w:val="0"/>
        <w:spacing w:line="400" w:lineRule="exact"/>
        <w:ind w:firstLine="420" w:firstLineChars="200"/>
        <w:rPr>
          <w:rFonts w:hint="eastAsia" w:ascii="宋体" w:hAnsi="宋体" w:cs="Arial"/>
          <w:szCs w:val="21"/>
        </w:rPr>
      </w:pPr>
      <w:r>
        <w:rPr>
          <w:rFonts w:ascii="宋体" w:hAnsi="宋体" w:cs="Arial"/>
          <w:szCs w:val="21"/>
        </w:rPr>
        <w:t>12.4</w:t>
      </w:r>
      <w:r>
        <w:rPr>
          <w:rFonts w:hint="eastAsia" w:ascii="宋体" w:hAnsi="宋体" w:cs="Arial"/>
          <w:szCs w:val="21"/>
        </w:rPr>
        <w:t>未中选的比选供应商的比选保证金退还详见比选供应商须知前附表。</w:t>
      </w:r>
    </w:p>
    <w:p w14:paraId="6D73EDAD">
      <w:pPr>
        <w:tabs>
          <w:tab w:val="left" w:pos="1050"/>
          <w:tab w:val="left" w:pos="1470"/>
        </w:tabs>
        <w:adjustRightInd w:val="0"/>
        <w:snapToGrid w:val="0"/>
        <w:spacing w:line="400" w:lineRule="exact"/>
        <w:ind w:firstLine="420" w:firstLineChars="200"/>
        <w:rPr>
          <w:rFonts w:hint="eastAsia" w:ascii="宋体" w:hAnsi="宋体" w:cs="Arial"/>
          <w:szCs w:val="21"/>
        </w:rPr>
      </w:pPr>
      <w:r>
        <w:rPr>
          <w:rFonts w:ascii="宋体" w:hAnsi="宋体" w:cs="Arial"/>
          <w:szCs w:val="21"/>
        </w:rPr>
        <w:t>12.5</w:t>
      </w:r>
      <w:r>
        <w:rPr>
          <w:rFonts w:hint="eastAsia" w:ascii="宋体" w:hAnsi="宋体" w:cs="Arial"/>
          <w:szCs w:val="21"/>
        </w:rPr>
        <w:t>中选人和中选候选人的比选保证金退还详见比选供应商须知前附表。</w:t>
      </w:r>
    </w:p>
    <w:p w14:paraId="1371F3C5">
      <w:pPr>
        <w:tabs>
          <w:tab w:val="left" w:pos="1050"/>
          <w:tab w:val="left" w:pos="1470"/>
        </w:tabs>
        <w:adjustRightInd w:val="0"/>
        <w:snapToGrid w:val="0"/>
        <w:spacing w:line="400" w:lineRule="exact"/>
        <w:ind w:firstLine="420" w:firstLineChars="200"/>
        <w:rPr>
          <w:rFonts w:hint="eastAsia" w:ascii="宋体" w:hAnsi="宋体" w:cs="Arial"/>
          <w:szCs w:val="21"/>
        </w:rPr>
      </w:pPr>
      <w:bookmarkStart w:id="293" w:name="_Toc411258084"/>
      <w:bookmarkStart w:id="294" w:name="_Toc325622536"/>
      <w:bookmarkStart w:id="295" w:name="_Toc406763739"/>
      <w:bookmarkStart w:id="296" w:name="_Toc513039462"/>
      <w:bookmarkStart w:id="297" w:name="_Toc428969048"/>
      <w:bookmarkStart w:id="298" w:name="_Toc324413078"/>
      <w:bookmarkStart w:id="299" w:name="_Toc400720553"/>
      <w:bookmarkStart w:id="300" w:name="_Toc322958548"/>
      <w:bookmarkStart w:id="301" w:name="_Toc325711636"/>
      <w:bookmarkStart w:id="302" w:name="_Toc352157817"/>
      <w:bookmarkStart w:id="303" w:name="_Toc345343649"/>
      <w:bookmarkStart w:id="304" w:name="_Toc348800114"/>
      <w:bookmarkStart w:id="305" w:name="_Toc346207078"/>
      <w:bookmarkStart w:id="306" w:name="_Toc25308"/>
      <w:bookmarkStart w:id="307" w:name="_Toc345927373"/>
      <w:r>
        <w:rPr>
          <w:rFonts w:ascii="宋体" w:hAnsi="宋体" w:cs="Arial"/>
          <w:szCs w:val="21"/>
        </w:rPr>
        <w:t>12.6</w:t>
      </w:r>
      <w:r>
        <w:rPr>
          <w:rFonts w:hint="eastAsia" w:ascii="宋体" w:hAnsi="宋体" w:cs="Arial"/>
          <w:szCs w:val="21"/>
        </w:rPr>
        <w:t xml:space="preserve"> 比选供应商在比选活动中有被投诉、拒绝有关部门监督检查、提供虚假材料等情况的，比选保证金暂不退还，待处理结果明确后按规定办理。有下列情形之一的，比选保证金将不予退还：</w:t>
      </w:r>
    </w:p>
    <w:p w14:paraId="15A19207">
      <w:pPr>
        <w:tabs>
          <w:tab w:val="left" w:pos="1050"/>
          <w:tab w:val="left" w:pos="1470"/>
        </w:tabs>
        <w:adjustRightInd w:val="0"/>
        <w:snapToGrid w:val="0"/>
        <w:spacing w:line="400" w:lineRule="exact"/>
        <w:ind w:firstLine="420" w:firstLineChars="200"/>
        <w:rPr>
          <w:rFonts w:hint="eastAsia" w:ascii="宋体" w:hAnsi="宋体" w:cs="Arial"/>
          <w:szCs w:val="21"/>
        </w:rPr>
      </w:pPr>
      <w:r>
        <w:rPr>
          <w:rFonts w:hint="eastAsia" w:ascii="宋体" w:hAnsi="宋体" w:cs="Arial"/>
          <w:szCs w:val="21"/>
        </w:rPr>
        <w:t>（1） 比选供应商在比选截止后撤销响应文件的。</w:t>
      </w:r>
    </w:p>
    <w:p w14:paraId="726BD8A1">
      <w:pPr>
        <w:tabs>
          <w:tab w:val="left" w:pos="1050"/>
          <w:tab w:val="left" w:pos="1470"/>
        </w:tabs>
        <w:adjustRightInd w:val="0"/>
        <w:snapToGrid w:val="0"/>
        <w:spacing w:line="400" w:lineRule="exact"/>
        <w:ind w:firstLine="420" w:firstLineChars="200"/>
        <w:rPr>
          <w:rFonts w:hint="eastAsia" w:ascii="宋体" w:hAnsi="宋体" w:cs="Arial"/>
          <w:szCs w:val="21"/>
        </w:rPr>
      </w:pPr>
      <w:r>
        <w:rPr>
          <w:rFonts w:hint="eastAsia" w:ascii="宋体" w:hAnsi="宋体" w:cs="Arial"/>
          <w:szCs w:val="21"/>
        </w:rPr>
        <w:t>（2） 比选供应商串通比选（投标）、弄虚作假、行贿等违法行为被否决的。</w:t>
      </w:r>
    </w:p>
    <w:p w14:paraId="2E627A45">
      <w:pPr>
        <w:tabs>
          <w:tab w:val="left" w:pos="1050"/>
          <w:tab w:val="left" w:pos="1470"/>
        </w:tabs>
        <w:adjustRightInd w:val="0"/>
        <w:snapToGrid w:val="0"/>
        <w:spacing w:line="400" w:lineRule="exact"/>
        <w:ind w:firstLine="420" w:firstLineChars="200"/>
        <w:rPr>
          <w:rFonts w:hint="eastAsia" w:ascii="宋体" w:hAnsi="宋体" w:cs="Arial"/>
          <w:szCs w:val="21"/>
        </w:rPr>
      </w:pPr>
      <w:r>
        <w:rPr>
          <w:rFonts w:hint="eastAsia" w:ascii="宋体" w:hAnsi="宋体" w:cs="Arial"/>
          <w:szCs w:val="21"/>
        </w:rPr>
        <w:t>（3）中选人在收到中选通知书，无正当理由不与比选订立合同，在签订合同时向比选人提出附加条件，或者不按照比选文件要求提交履约担保的。</w:t>
      </w:r>
    </w:p>
    <w:p w14:paraId="12F9848F">
      <w:pPr>
        <w:tabs>
          <w:tab w:val="left" w:pos="1050"/>
          <w:tab w:val="left" w:pos="1470"/>
        </w:tabs>
        <w:adjustRightInd w:val="0"/>
        <w:snapToGrid w:val="0"/>
        <w:spacing w:line="400" w:lineRule="exact"/>
        <w:ind w:firstLine="420" w:firstLineChars="200"/>
        <w:rPr>
          <w:rFonts w:hint="eastAsia" w:ascii="宋体" w:hAnsi="宋体" w:cs="Arial"/>
          <w:szCs w:val="21"/>
        </w:rPr>
      </w:pPr>
      <w:r>
        <w:rPr>
          <w:rFonts w:hint="eastAsia" w:ascii="宋体" w:hAnsi="宋体" w:cs="Arial"/>
          <w:szCs w:val="21"/>
        </w:rPr>
        <w:t>（4） 其他符合法律法规及相关规定不予退还比选保证金情形的。</w:t>
      </w:r>
    </w:p>
    <w:p w14:paraId="095F0D1D">
      <w:pPr>
        <w:pStyle w:val="472"/>
        <w:widowControl/>
        <w:adjustRightInd w:val="0"/>
        <w:snapToGrid w:val="0"/>
        <w:spacing w:afterLines="0" w:line="440" w:lineRule="atLeast"/>
        <w:ind w:left="0" w:firstLine="0"/>
        <w:jc w:val="left"/>
        <w:outlineLvl w:val="1"/>
        <w:rPr>
          <w:rFonts w:hint="eastAsia" w:ascii="宋体" w:hAnsi="宋体"/>
          <w:b/>
        </w:rPr>
      </w:pPr>
      <w:bookmarkStart w:id="308" w:name="_Toc27947"/>
      <w:bookmarkStart w:id="309" w:name="_Toc4967"/>
      <w:bookmarkStart w:id="310" w:name="_Toc28491"/>
      <w:r>
        <w:rPr>
          <w:rFonts w:ascii="宋体" w:hAnsi="宋体"/>
          <w:b/>
        </w:rPr>
        <w:t>13.</w:t>
      </w:r>
      <w:r>
        <w:rPr>
          <w:rFonts w:hint="eastAsia" w:ascii="宋体" w:hAnsi="宋体"/>
          <w:b/>
        </w:rPr>
        <w:t>响应文件的有效期</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14:paraId="1E86B6A1">
      <w:pPr>
        <w:tabs>
          <w:tab w:val="left" w:pos="1050"/>
          <w:tab w:val="left" w:pos="1470"/>
        </w:tabs>
        <w:adjustRightInd w:val="0"/>
        <w:snapToGrid w:val="0"/>
        <w:spacing w:line="400" w:lineRule="exact"/>
        <w:ind w:firstLine="420" w:firstLineChars="200"/>
        <w:rPr>
          <w:rFonts w:hint="eastAsia" w:ascii="宋体" w:hAnsi="宋体" w:cs="Arial"/>
          <w:szCs w:val="21"/>
        </w:rPr>
      </w:pPr>
      <w:r>
        <w:rPr>
          <w:rFonts w:ascii="宋体" w:hAnsi="宋体" w:cs="Arial"/>
          <w:szCs w:val="21"/>
        </w:rPr>
        <w:t>13.1</w:t>
      </w:r>
      <w:r>
        <w:rPr>
          <w:rFonts w:hint="eastAsia" w:ascii="宋体" w:hAnsi="宋体" w:cs="Arial"/>
          <w:szCs w:val="21"/>
        </w:rPr>
        <w:t>自比选日起</w:t>
      </w:r>
      <w:r>
        <w:rPr>
          <w:rFonts w:ascii="宋体" w:hAnsi="宋体" w:cs="Arial"/>
          <w:szCs w:val="21"/>
        </w:rPr>
        <w:t>90</w:t>
      </w:r>
      <w:r>
        <w:rPr>
          <w:rFonts w:hint="eastAsia" w:ascii="宋体" w:hAnsi="宋体" w:cs="Arial"/>
          <w:szCs w:val="21"/>
        </w:rPr>
        <w:t>天内，响应文件应保持有效。有效期短于这个规定期限的比选将被拒绝。</w:t>
      </w:r>
    </w:p>
    <w:p w14:paraId="3118EE98">
      <w:pPr>
        <w:pStyle w:val="472"/>
        <w:widowControl/>
        <w:adjustRightInd w:val="0"/>
        <w:snapToGrid w:val="0"/>
        <w:spacing w:afterLines="0" w:line="440" w:lineRule="atLeast"/>
        <w:ind w:left="0" w:firstLine="0"/>
        <w:jc w:val="left"/>
        <w:outlineLvl w:val="1"/>
        <w:rPr>
          <w:rFonts w:hint="eastAsia" w:ascii="宋体" w:hAnsi="宋体"/>
          <w:b/>
        </w:rPr>
      </w:pPr>
      <w:bookmarkStart w:id="311" w:name="_Toc325622537"/>
      <w:bookmarkStart w:id="312" w:name="_Toc322958549"/>
      <w:bookmarkStart w:id="313" w:name="_Toc348800115"/>
      <w:bookmarkStart w:id="314" w:name="_Toc29922"/>
      <w:bookmarkStart w:id="315" w:name="_Toc325711637"/>
      <w:bookmarkStart w:id="316" w:name="_Toc352157818"/>
      <w:bookmarkStart w:id="317" w:name="_Toc345927374"/>
      <w:bookmarkStart w:id="318" w:name="_Toc15757"/>
      <w:bookmarkStart w:id="319" w:name="_Toc346207079"/>
      <w:bookmarkStart w:id="320" w:name="_Toc400720554"/>
      <w:bookmarkStart w:id="321" w:name="_Toc15488"/>
      <w:bookmarkStart w:id="322" w:name="_Toc10941"/>
      <w:bookmarkStart w:id="323" w:name="_Toc324413079"/>
      <w:bookmarkStart w:id="324" w:name="_Toc411258085"/>
      <w:bookmarkStart w:id="325" w:name="_Toc513039463"/>
      <w:bookmarkStart w:id="326" w:name="_Toc406763740"/>
      <w:bookmarkStart w:id="327" w:name="_Toc345343650"/>
      <w:bookmarkStart w:id="328" w:name="_Toc428969049"/>
      <w:bookmarkStart w:id="329" w:name="_Toc141675388"/>
      <w:r>
        <w:rPr>
          <w:rFonts w:ascii="宋体" w:hAnsi="宋体"/>
          <w:b/>
        </w:rPr>
        <w:t>14.</w:t>
      </w:r>
      <w:r>
        <w:rPr>
          <w:rFonts w:hint="eastAsia" w:ascii="宋体" w:hAnsi="宋体"/>
          <w:b/>
        </w:rPr>
        <w:t>响应文件的签署及规定</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p w14:paraId="24860839">
      <w:pPr>
        <w:tabs>
          <w:tab w:val="left" w:pos="1050"/>
          <w:tab w:val="left" w:pos="1470"/>
        </w:tabs>
        <w:adjustRightInd w:val="0"/>
        <w:snapToGrid w:val="0"/>
        <w:spacing w:line="400" w:lineRule="exact"/>
        <w:ind w:firstLine="420" w:firstLineChars="200"/>
        <w:rPr>
          <w:rFonts w:hint="eastAsia" w:ascii="宋体" w:hAnsi="宋体" w:cs="Arial"/>
          <w:szCs w:val="21"/>
        </w:rPr>
      </w:pPr>
      <w:r>
        <w:rPr>
          <w:rFonts w:ascii="宋体" w:hAnsi="宋体" w:cs="Arial"/>
          <w:szCs w:val="21"/>
        </w:rPr>
        <w:t>14.1</w:t>
      </w:r>
      <w:r>
        <w:rPr>
          <w:rFonts w:hint="eastAsia" w:ascii="宋体" w:hAnsi="宋体" w:cs="Arial"/>
          <w:szCs w:val="21"/>
        </w:rPr>
        <w:t>组成响应文件的各项资料（本须知第</w:t>
      </w:r>
      <w:r>
        <w:rPr>
          <w:rFonts w:ascii="宋体" w:hAnsi="宋体" w:cs="Arial"/>
          <w:szCs w:val="21"/>
        </w:rPr>
        <w:t>8</w:t>
      </w:r>
      <w:r>
        <w:rPr>
          <w:rFonts w:hint="eastAsia" w:ascii="宋体" w:hAnsi="宋体" w:cs="Arial"/>
          <w:szCs w:val="21"/>
        </w:rPr>
        <w:t>条中所规定）均应遵守本条。</w:t>
      </w:r>
    </w:p>
    <w:p w14:paraId="44F645BA">
      <w:pPr>
        <w:tabs>
          <w:tab w:val="left" w:pos="1050"/>
          <w:tab w:val="left" w:pos="1470"/>
        </w:tabs>
        <w:adjustRightInd w:val="0"/>
        <w:snapToGrid w:val="0"/>
        <w:spacing w:line="400" w:lineRule="exact"/>
        <w:ind w:firstLine="420" w:firstLineChars="200"/>
        <w:rPr>
          <w:rFonts w:hint="eastAsia" w:ascii="宋体" w:hAnsi="宋体" w:cs="Arial"/>
          <w:szCs w:val="21"/>
        </w:rPr>
      </w:pPr>
      <w:r>
        <w:rPr>
          <w:rFonts w:ascii="宋体" w:hAnsi="宋体" w:cs="Arial"/>
          <w:szCs w:val="21"/>
        </w:rPr>
        <w:t>14.2</w:t>
      </w:r>
      <w:r>
        <w:rPr>
          <w:rFonts w:hint="eastAsia" w:ascii="宋体" w:hAnsi="宋体" w:cs="Arial"/>
          <w:szCs w:val="21"/>
        </w:rPr>
        <w:t>比选供应商应填写全称，响应文件必须加盖比选供应商公章。</w:t>
      </w:r>
    </w:p>
    <w:p w14:paraId="36DDD44D">
      <w:pPr>
        <w:tabs>
          <w:tab w:val="left" w:pos="1050"/>
          <w:tab w:val="left" w:pos="1470"/>
        </w:tabs>
        <w:adjustRightInd w:val="0"/>
        <w:snapToGrid w:val="0"/>
        <w:spacing w:line="400" w:lineRule="exact"/>
        <w:ind w:firstLine="420" w:firstLineChars="200"/>
        <w:rPr>
          <w:rFonts w:hint="eastAsia" w:ascii="宋体" w:hAnsi="宋体" w:cs="Arial"/>
          <w:szCs w:val="21"/>
        </w:rPr>
      </w:pPr>
      <w:r>
        <w:rPr>
          <w:rFonts w:ascii="宋体" w:hAnsi="宋体" w:cs="Arial"/>
          <w:szCs w:val="21"/>
        </w:rPr>
        <w:t>14.3</w:t>
      </w:r>
      <w:r>
        <w:rPr>
          <w:rFonts w:hint="eastAsia" w:ascii="宋体" w:hAnsi="宋体" w:cs="Arial"/>
          <w:szCs w:val="21"/>
        </w:rPr>
        <w:t>响应文件正本</w:t>
      </w:r>
      <w:r>
        <w:rPr>
          <w:rFonts w:ascii="宋体" w:hAnsi="宋体" w:cs="Arial"/>
          <w:szCs w:val="21"/>
        </w:rPr>
        <w:t>1</w:t>
      </w:r>
      <w:r>
        <w:rPr>
          <w:rFonts w:hint="eastAsia" w:ascii="宋体" w:hAnsi="宋体" w:cs="Arial"/>
          <w:szCs w:val="21"/>
        </w:rPr>
        <w:t>份，副本</w:t>
      </w:r>
      <w:r>
        <w:rPr>
          <w:rFonts w:hint="eastAsia" w:ascii="宋体" w:hAnsi="宋体" w:cs="Arial"/>
          <w:szCs w:val="21"/>
          <w:lang w:val="en-US" w:eastAsia="zh-CN"/>
        </w:rPr>
        <w:t>及电子文件</w:t>
      </w:r>
      <w:r>
        <w:rPr>
          <w:rFonts w:hint="eastAsia" w:ascii="宋体" w:hAnsi="宋体" w:cs="Arial"/>
          <w:szCs w:val="21"/>
        </w:rPr>
        <w:t>数量详见比选供应商须知前附表。如果正本与副本不符，以正本为准。</w:t>
      </w:r>
    </w:p>
    <w:p w14:paraId="77265EBE">
      <w:pPr>
        <w:tabs>
          <w:tab w:val="left" w:pos="1050"/>
          <w:tab w:val="left" w:pos="1470"/>
        </w:tabs>
        <w:adjustRightInd w:val="0"/>
        <w:snapToGrid w:val="0"/>
        <w:spacing w:line="400" w:lineRule="exact"/>
        <w:ind w:firstLine="420" w:firstLineChars="200"/>
        <w:rPr>
          <w:rFonts w:hint="eastAsia" w:ascii="宋体" w:hAnsi="宋体" w:cs="Arial"/>
          <w:szCs w:val="21"/>
        </w:rPr>
      </w:pPr>
      <w:r>
        <w:rPr>
          <w:rFonts w:ascii="宋体" w:hAnsi="宋体" w:cs="Arial"/>
          <w:szCs w:val="21"/>
        </w:rPr>
        <w:t>14.4</w:t>
      </w:r>
      <w:r>
        <w:rPr>
          <w:rFonts w:hint="eastAsia" w:ascii="宋体" w:hAnsi="宋体" w:cs="Arial"/>
          <w:szCs w:val="21"/>
        </w:rPr>
        <w:t>响应文件的正本必须用不褪色的墨水填写或打印，注明“正本”字样。副本可以用复印件。</w:t>
      </w:r>
    </w:p>
    <w:p w14:paraId="160D97E3">
      <w:pPr>
        <w:tabs>
          <w:tab w:val="left" w:pos="1050"/>
          <w:tab w:val="left" w:pos="1470"/>
        </w:tabs>
        <w:adjustRightInd w:val="0"/>
        <w:snapToGrid w:val="0"/>
        <w:spacing w:line="400" w:lineRule="exact"/>
        <w:ind w:firstLine="420" w:firstLineChars="200"/>
        <w:rPr>
          <w:rFonts w:hint="eastAsia" w:ascii="宋体" w:hAnsi="宋体" w:cs="Arial"/>
          <w:szCs w:val="21"/>
        </w:rPr>
      </w:pPr>
      <w:r>
        <w:rPr>
          <w:rFonts w:ascii="宋体" w:hAnsi="宋体" w:cs="Arial"/>
          <w:szCs w:val="21"/>
        </w:rPr>
        <w:t>14.5</w:t>
      </w:r>
      <w:r>
        <w:rPr>
          <w:rFonts w:hint="eastAsia" w:ascii="宋体" w:hAnsi="宋体" w:cs="Arial"/>
          <w:szCs w:val="21"/>
        </w:rPr>
        <w:t>响应文件如果有涂改和增删，必须由同一签署人（为法定代表人</w:t>
      </w:r>
      <w:r>
        <w:rPr>
          <w:rFonts w:hint="eastAsia" w:hAnsi="宋体" w:cs="宋体"/>
          <w:szCs w:val="21"/>
        </w:rPr>
        <w:t>（或单位负责人）</w:t>
      </w:r>
      <w:r>
        <w:rPr>
          <w:rFonts w:hint="eastAsia" w:ascii="宋体" w:hAnsi="宋体" w:cs="Arial"/>
          <w:szCs w:val="21"/>
        </w:rPr>
        <w:t>或其授权委托代理人）签字或盖鲜公章方为有效。</w:t>
      </w:r>
    </w:p>
    <w:p w14:paraId="2288927E">
      <w:pPr>
        <w:tabs>
          <w:tab w:val="left" w:pos="1050"/>
          <w:tab w:val="left" w:pos="1470"/>
        </w:tabs>
        <w:adjustRightInd w:val="0"/>
        <w:snapToGrid w:val="0"/>
        <w:spacing w:line="400" w:lineRule="exact"/>
        <w:ind w:firstLine="420" w:firstLineChars="200"/>
        <w:rPr>
          <w:rFonts w:hint="eastAsia" w:ascii="宋体" w:hAnsi="宋体" w:cs="Arial"/>
          <w:szCs w:val="21"/>
        </w:rPr>
      </w:pPr>
      <w:r>
        <w:rPr>
          <w:rFonts w:ascii="宋体" w:hAnsi="宋体" w:cs="Arial"/>
          <w:szCs w:val="21"/>
        </w:rPr>
        <w:t xml:space="preserve">14.6 </w:t>
      </w:r>
      <w:r>
        <w:rPr>
          <w:rFonts w:hint="eastAsia" w:ascii="宋体" w:hAnsi="宋体" w:cs="Arial"/>
          <w:szCs w:val="21"/>
        </w:rPr>
        <w:t>响应文件因字迹潦草或表达不清所引起的后果由比选供应商自行负责。</w:t>
      </w:r>
    </w:p>
    <w:p w14:paraId="6C68B9FF">
      <w:pPr>
        <w:spacing w:line="400" w:lineRule="exact"/>
        <w:jc w:val="center"/>
        <w:rPr>
          <w:rFonts w:hint="eastAsia" w:ascii="宋体" w:hAnsi="宋体"/>
          <w:b/>
        </w:rPr>
      </w:pPr>
      <w:bookmarkStart w:id="330" w:name="_Toc345927375"/>
      <w:bookmarkStart w:id="331" w:name="_Toc352157819"/>
      <w:bookmarkStart w:id="332" w:name="_Toc411258086"/>
      <w:bookmarkStart w:id="333" w:name="_Toc400720555"/>
      <w:bookmarkStart w:id="334" w:name="_Toc141675389"/>
      <w:bookmarkStart w:id="335" w:name="_Toc406763741"/>
      <w:bookmarkStart w:id="336" w:name="_Toc325622538"/>
      <w:bookmarkStart w:id="337" w:name="_Toc428969050"/>
      <w:bookmarkStart w:id="338" w:name="_Toc345343651"/>
      <w:bookmarkStart w:id="339" w:name="_Toc324413080"/>
      <w:bookmarkStart w:id="340" w:name="_Toc322958550"/>
      <w:bookmarkStart w:id="341" w:name="_Toc346207080"/>
      <w:bookmarkStart w:id="342" w:name="_Toc513039464"/>
      <w:bookmarkStart w:id="343" w:name="_Toc348800116"/>
      <w:bookmarkStart w:id="344" w:name="_Toc325711638"/>
      <w:r>
        <w:rPr>
          <w:rFonts w:ascii="宋体" w:hAnsi="宋体"/>
          <w:b/>
        </w:rPr>
        <w:t>D</w:t>
      </w:r>
      <w:r>
        <w:rPr>
          <w:rFonts w:hint="eastAsia" w:ascii="宋体" w:hAnsi="宋体"/>
          <w:b/>
        </w:rPr>
        <w:t>响应文件递交</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14:paraId="08B45DC2">
      <w:pPr>
        <w:pStyle w:val="472"/>
        <w:widowControl/>
        <w:adjustRightInd w:val="0"/>
        <w:snapToGrid w:val="0"/>
        <w:spacing w:afterLines="0" w:line="440" w:lineRule="atLeast"/>
        <w:ind w:left="0" w:firstLine="0"/>
        <w:jc w:val="left"/>
        <w:outlineLvl w:val="1"/>
        <w:rPr>
          <w:rFonts w:hint="eastAsia" w:ascii="宋体" w:hAnsi="宋体"/>
          <w:b/>
        </w:rPr>
      </w:pPr>
      <w:bookmarkStart w:id="345" w:name="_Toc400720556"/>
      <w:bookmarkStart w:id="346" w:name="_Toc141675390"/>
      <w:bookmarkStart w:id="347" w:name="_Toc352157820"/>
      <w:bookmarkStart w:id="348" w:name="_Toc325622539"/>
      <w:bookmarkStart w:id="349" w:name="_Toc406763742"/>
      <w:bookmarkStart w:id="350" w:name="_Toc428969051"/>
      <w:bookmarkStart w:id="351" w:name="_Toc411258087"/>
      <w:bookmarkStart w:id="352" w:name="_Toc322958551"/>
      <w:bookmarkStart w:id="353" w:name="_Toc31002"/>
      <w:bookmarkStart w:id="354" w:name="_Toc324413081"/>
      <w:bookmarkStart w:id="355" w:name="_Toc345343652"/>
      <w:bookmarkStart w:id="356" w:name="_Toc7590"/>
      <w:bookmarkStart w:id="357" w:name="_Toc15098"/>
      <w:bookmarkStart w:id="358" w:name="_Toc345927376"/>
      <w:bookmarkStart w:id="359" w:name="_Toc325711639"/>
      <w:bookmarkStart w:id="360" w:name="_Toc513039465"/>
      <w:bookmarkStart w:id="361" w:name="_Toc346207081"/>
      <w:bookmarkStart w:id="362" w:name="_Toc348800117"/>
      <w:bookmarkStart w:id="363" w:name="_Toc32334"/>
      <w:r>
        <w:rPr>
          <w:rFonts w:ascii="宋体" w:hAnsi="宋体"/>
          <w:b/>
        </w:rPr>
        <w:t>15.</w:t>
      </w:r>
      <w:r>
        <w:rPr>
          <w:rFonts w:hint="eastAsia" w:ascii="宋体" w:hAnsi="宋体"/>
          <w:b/>
        </w:rPr>
        <w:t>响应文件的装订、密封及标记</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 w14:paraId="0A7D812B">
      <w:pPr>
        <w:tabs>
          <w:tab w:val="left" w:pos="1050"/>
          <w:tab w:val="left" w:pos="1470"/>
        </w:tabs>
        <w:adjustRightInd w:val="0"/>
        <w:snapToGrid w:val="0"/>
        <w:spacing w:line="400" w:lineRule="exact"/>
        <w:ind w:firstLine="420" w:firstLineChars="200"/>
        <w:rPr>
          <w:rFonts w:hint="eastAsia" w:ascii="宋体" w:hAnsi="宋体" w:cs="Arial"/>
          <w:szCs w:val="21"/>
        </w:rPr>
      </w:pPr>
      <w:r>
        <w:rPr>
          <w:rFonts w:ascii="宋体" w:hAnsi="宋体" w:cs="Arial"/>
          <w:szCs w:val="21"/>
        </w:rPr>
        <w:t>15.1</w:t>
      </w:r>
      <w:r>
        <w:rPr>
          <w:rFonts w:hint="eastAsia" w:ascii="宋体" w:hAnsi="宋体" w:cs="Arial"/>
          <w:szCs w:val="21"/>
        </w:rPr>
        <w:t>响应文件的装订、密封及标记：详见比选供应商须知前附表。</w:t>
      </w:r>
    </w:p>
    <w:p w14:paraId="0BD1101D">
      <w:pPr>
        <w:tabs>
          <w:tab w:val="left" w:pos="1050"/>
          <w:tab w:val="left" w:pos="1470"/>
        </w:tabs>
        <w:adjustRightInd w:val="0"/>
        <w:snapToGrid w:val="0"/>
        <w:spacing w:line="400" w:lineRule="exact"/>
        <w:ind w:firstLine="420" w:firstLineChars="200"/>
        <w:rPr>
          <w:rFonts w:hint="eastAsia" w:ascii="宋体" w:hAnsi="宋体" w:cs="Arial"/>
          <w:szCs w:val="21"/>
        </w:rPr>
      </w:pPr>
      <w:r>
        <w:rPr>
          <w:rFonts w:ascii="宋体" w:hAnsi="宋体" w:cs="Arial"/>
          <w:szCs w:val="21"/>
        </w:rPr>
        <w:t>15.2</w:t>
      </w:r>
      <w:r>
        <w:rPr>
          <w:rFonts w:hint="eastAsia" w:ascii="宋体" w:hAnsi="宋体" w:cs="Arial"/>
          <w:szCs w:val="21"/>
        </w:rPr>
        <w:t>如果比选供应商未按上述</w:t>
      </w:r>
      <w:r>
        <w:rPr>
          <w:rFonts w:ascii="宋体" w:hAnsi="宋体" w:cs="Arial"/>
          <w:szCs w:val="21"/>
        </w:rPr>
        <w:t>15.1</w:t>
      </w:r>
      <w:r>
        <w:rPr>
          <w:rFonts w:hint="eastAsia" w:ascii="宋体" w:hAnsi="宋体" w:cs="Arial"/>
          <w:szCs w:val="21"/>
        </w:rPr>
        <w:t>要求装订、密封并加写标记，比选代理机构对响应文件的误投、遗失和提前启封概不负责。</w:t>
      </w:r>
    </w:p>
    <w:p w14:paraId="6E63D291">
      <w:pPr>
        <w:pStyle w:val="472"/>
        <w:widowControl/>
        <w:adjustRightInd w:val="0"/>
        <w:snapToGrid w:val="0"/>
        <w:spacing w:afterLines="0" w:line="440" w:lineRule="atLeast"/>
        <w:ind w:left="0" w:firstLine="0"/>
        <w:jc w:val="left"/>
        <w:outlineLvl w:val="1"/>
        <w:rPr>
          <w:rFonts w:hint="eastAsia" w:ascii="宋体" w:hAnsi="宋体"/>
          <w:b/>
        </w:rPr>
      </w:pPr>
      <w:bookmarkStart w:id="364" w:name="_Toc7927"/>
      <w:bookmarkStart w:id="365" w:name="_Toc348800118"/>
      <w:bookmarkStart w:id="366" w:name="_Toc322958552"/>
      <w:bookmarkStart w:id="367" w:name="_Toc141675391"/>
      <w:bookmarkStart w:id="368" w:name="_Toc345343653"/>
      <w:bookmarkStart w:id="369" w:name="_Toc352157821"/>
      <w:bookmarkStart w:id="370" w:name="_Toc324413082"/>
      <w:bookmarkStart w:id="371" w:name="_Toc411258088"/>
      <w:bookmarkStart w:id="372" w:name="_Toc24746"/>
      <w:bookmarkStart w:id="373" w:name="_Toc513039466"/>
      <w:bookmarkStart w:id="374" w:name="_Toc29820"/>
      <w:bookmarkStart w:id="375" w:name="_Toc428969052"/>
      <w:bookmarkStart w:id="376" w:name="_Toc325711640"/>
      <w:bookmarkStart w:id="377" w:name="_Toc325622540"/>
      <w:bookmarkStart w:id="378" w:name="_Toc406763743"/>
      <w:bookmarkStart w:id="379" w:name="_Toc9775"/>
      <w:bookmarkStart w:id="380" w:name="_Toc345927377"/>
      <w:bookmarkStart w:id="381" w:name="_Toc400720557"/>
      <w:bookmarkStart w:id="382" w:name="_Toc346207082"/>
      <w:r>
        <w:rPr>
          <w:rFonts w:ascii="宋体" w:hAnsi="宋体"/>
          <w:b/>
        </w:rPr>
        <w:t>16.</w:t>
      </w:r>
      <w:r>
        <w:rPr>
          <w:rFonts w:hint="eastAsia" w:ascii="宋体" w:hAnsi="宋体"/>
          <w:b/>
        </w:rPr>
        <w:t>比选截止时间</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p w14:paraId="06920110">
      <w:pPr>
        <w:tabs>
          <w:tab w:val="left" w:pos="1050"/>
          <w:tab w:val="left" w:pos="1470"/>
        </w:tabs>
        <w:adjustRightInd w:val="0"/>
        <w:snapToGrid w:val="0"/>
        <w:spacing w:line="400" w:lineRule="exact"/>
        <w:ind w:firstLine="420" w:firstLineChars="200"/>
        <w:rPr>
          <w:rFonts w:hint="eastAsia" w:ascii="宋体" w:hAnsi="宋体" w:cs="Arial"/>
          <w:szCs w:val="21"/>
        </w:rPr>
      </w:pPr>
      <w:r>
        <w:rPr>
          <w:rFonts w:ascii="宋体" w:hAnsi="宋体" w:cs="Arial"/>
          <w:szCs w:val="21"/>
        </w:rPr>
        <w:t>16.1</w:t>
      </w:r>
      <w:r>
        <w:rPr>
          <w:rFonts w:hint="eastAsia" w:ascii="宋体" w:hAnsi="宋体" w:cs="Arial"/>
          <w:szCs w:val="21"/>
        </w:rPr>
        <w:t>响应文件必须在比选供应商须知前附表规定的比选截止时间前派人送达至比选供应商须知前附表规定的响应文件递交地点。</w:t>
      </w:r>
    </w:p>
    <w:p w14:paraId="2A3F6402">
      <w:pPr>
        <w:tabs>
          <w:tab w:val="left" w:pos="1050"/>
          <w:tab w:val="left" w:pos="1470"/>
        </w:tabs>
        <w:adjustRightInd w:val="0"/>
        <w:snapToGrid w:val="0"/>
        <w:spacing w:line="400" w:lineRule="exact"/>
        <w:ind w:firstLine="420" w:firstLineChars="200"/>
        <w:rPr>
          <w:rFonts w:hint="eastAsia" w:ascii="宋体" w:hAnsi="宋体" w:cs="Arial"/>
          <w:szCs w:val="21"/>
        </w:rPr>
      </w:pPr>
      <w:r>
        <w:rPr>
          <w:rFonts w:ascii="宋体" w:hAnsi="宋体" w:cs="Arial"/>
          <w:szCs w:val="21"/>
        </w:rPr>
        <w:t>16.2</w:t>
      </w:r>
      <w:r>
        <w:rPr>
          <w:rFonts w:hint="eastAsia" w:ascii="宋体" w:hAnsi="宋体" w:cs="Arial"/>
          <w:szCs w:val="21"/>
        </w:rPr>
        <w:t>在比选截止时间以后送达的响应文件，比选人或比选代理机构将拒绝接收。</w:t>
      </w:r>
    </w:p>
    <w:p w14:paraId="5CEC661C">
      <w:pPr>
        <w:pStyle w:val="472"/>
        <w:widowControl/>
        <w:adjustRightInd w:val="0"/>
        <w:snapToGrid w:val="0"/>
        <w:spacing w:afterLines="0" w:line="440" w:lineRule="atLeast"/>
        <w:ind w:left="0" w:firstLine="0"/>
        <w:jc w:val="left"/>
        <w:outlineLvl w:val="1"/>
        <w:rPr>
          <w:rFonts w:hint="eastAsia" w:ascii="宋体" w:hAnsi="宋体"/>
          <w:b/>
        </w:rPr>
      </w:pPr>
      <w:bookmarkStart w:id="383" w:name="_Toc10190"/>
      <w:bookmarkStart w:id="384" w:name="_Toc348800119"/>
      <w:bookmarkStart w:id="385" w:name="_Toc406763744"/>
      <w:bookmarkStart w:id="386" w:name="_Toc18418"/>
      <w:bookmarkStart w:id="387" w:name="_Toc29908"/>
      <w:bookmarkStart w:id="388" w:name="_Toc325622541"/>
      <w:bookmarkStart w:id="389" w:name="_Toc325711641"/>
      <w:bookmarkStart w:id="390" w:name="_Toc345343654"/>
      <w:bookmarkStart w:id="391" w:name="_Toc345927378"/>
      <w:bookmarkStart w:id="392" w:name="_Toc322958553"/>
      <w:bookmarkStart w:id="393" w:name="_Toc346207083"/>
      <w:bookmarkStart w:id="394" w:name="_Toc352157822"/>
      <w:bookmarkStart w:id="395" w:name="_Toc141675392"/>
      <w:bookmarkStart w:id="396" w:name="_Toc25056"/>
      <w:bookmarkStart w:id="397" w:name="_Toc428969053"/>
      <w:bookmarkStart w:id="398" w:name="_Toc400720558"/>
      <w:bookmarkStart w:id="399" w:name="_Toc411258089"/>
      <w:bookmarkStart w:id="400" w:name="_Toc324413083"/>
      <w:bookmarkStart w:id="401" w:name="_Toc513039467"/>
      <w:r>
        <w:rPr>
          <w:rFonts w:ascii="宋体" w:hAnsi="宋体"/>
          <w:b/>
        </w:rPr>
        <w:t>17.</w:t>
      </w:r>
      <w:r>
        <w:rPr>
          <w:rFonts w:hint="eastAsia" w:ascii="宋体" w:hAnsi="宋体"/>
          <w:b/>
        </w:rPr>
        <w:t>响应文件的修改和撤回</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p w14:paraId="741621A7">
      <w:pPr>
        <w:tabs>
          <w:tab w:val="left" w:pos="1050"/>
          <w:tab w:val="left" w:pos="1470"/>
        </w:tabs>
        <w:adjustRightInd w:val="0"/>
        <w:snapToGrid w:val="0"/>
        <w:spacing w:line="400" w:lineRule="exact"/>
        <w:ind w:firstLine="420" w:firstLineChars="200"/>
        <w:rPr>
          <w:rFonts w:hint="eastAsia" w:ascii="宋体" w:hAnsi="宋体" w:cs="Arial"/>
          <w:szCs w:val="21"/>
        </w:rPr>
      </w:pPr>
      <w:r>
        <w:rPr>
          <w:rFonts w:ascii="宋体" w:hAnsi="宋体" w:cs="Arial"/>
          <w:szCs w:val="21"/>
        </w:rPr>
        <w:t>17.1</w:t>
      </w:r>
      <w:r>
        <w:rPr>
          <w:rFonts w:hint="eastAsia" w:ascii="宋体" w:hAnsi="宋体" w:cs="Arial"/>
          <w:szCs w:val="21"/>
        </w:rPr>
        <w:t>比选截止时间前，如果比选供应商提出要修改响应文件或撤销比选的要求，应在比选截止时间前书面送达比选代理机构，其修改或撤销方能被比选人接受。</w:t>
      </w:r>
    </w:p>
    <w:p w14:paraId="1015E993">
      <w:pPr>
        <w:tabs>
          <w:tab w:val="left" w:pos="1050"/>
          <w:tab w:val="left" w:pos="1470"/>
        </w:tabs>
        <w:adjustRightInd w:val="0"/>
        <w:snapToGrid w:val="0"/>
        <w:spacing w:line="400" w:lineRule="exact"/>
        <w:ind w:firstLine="420" w:firstLineChars="200"/>
        <w:rPr>
          <w:rFonts w:hint="eastAsia" w:ascii="宋体" w:hAnsi="宋体" w:cs="Arial"/>
          <w:szCs w:val="21"/>
        </w:rPr>
      </w:pPr>
      <w:r>
        <w:rPr>
          <w:rFonts w:ascii="宋体" w:hAnsi="宋体" w:cs="Arial"/>
          <w:szCs w:val="21"/>
        </w:rPr>
        <w:t>17.2</w:t>
      </w:r>
      <w:r>
        <w:rPr>
          <w:rFonts w:hint="eastAsia" w:ascii="宋体" w:hAnsi="宋体" w:cs="Arial"/>
          <w:szCs w:val="21"/>
        </w:rPr>
        <w:t>比选供应商修改响应文件的书面材料，须密封送达比选代理机构，同时应在封套上标明“修改响应文件（并注明项目编号）”字样。</w:t>
      </w:r>
    </w:p>
    <w:p w14:paraId="33AE6114">
      <w:pPr>
        <w:tabs>
          <w:tab w:val="left" w:pos="1050"/>
          <w:tab w:val="left" w:pos="1470"/>
        </w:tabs>
        <w:adjustRightInd w:val="0"/>
        <w:snapToGrid w:val="0"/>
        <w:spacing w:line="400" w:lineRule="exact"/>
        <w:ind w:firstLine="420" w:firstLineChars="200"/>
        <w:rPr>
          <w:rFonts w:hint="eastAsia" w:ascii="宋体" w:hAnsi="宋体" w:cs="Arial"/>
          <w:szCs w:val="21"/>
        </w:rPr>
      </w:pPr>
      <w:r>
        <w:rPr>
          <w:rFonts w:ascii="宋体" w:hAnsi="宋体" w:cs="Arial"/>
          <w:szCs w:val="21"/>
        </w:rPr>
        <w:t>17.3</w:t>
      </w:r>
      <w:r>
        <w:rPr>
          <w:rFonts w:hint="eastAsia" w:ascii="宋体" w:hAnsi="宋体" w:cs="Arial"/>
          <w:szCs w:val="21"/>
        </w:rPr>
        <w:t>比选供应商撤销比选要求的，应以书面（或传真）的形式通知比选代理机构。如采取传真形式撤回比选的，随后必须补充有法定代表人</w:t>
      </w:r>
      <w:r>
        <w:rPr>
          <w:rFonts w:hint="eastAsia" w:hAnsi="宋体" w:cs="宋体"/>
          <w:szCs w:val="21"/>
        </w:rPr>
        <w:t>（或单位负责人）</w:t>
      </w:r>
      <w:r>
        <w:rPr>
          <w:rFonts w:hint="eastAsia" w:ascii="宋体" w:hAnsi="宋体" w:cs="Arial"/>
          <w:szCs w:val="21"/>
        </w:rPr>
        <w:t>或其授权代理人签署的要求撤回比选的正式文件。撤回比选要求的时间以送达比选代理机构的时间为准。</w:t>
      </w:r>
    </w:p>
    <w:p w14:paraId="43CF0A57">
      <w:pPr>
        <w:tabs>
          <w:tab w:val="left" w:pos="1050"/>
          <w:tab w:val="left" w:pos="1470"/>
        </w:tabs>
        <w:adjustRightInd w:val="0"/>
        <w:snapToGrid w:val="0"/>
        <w:spacing w:line="400" w:lineRule="exact"/>
        <w:ind w:firstLine="420" w:firstLineChars="200"/>
        <w:rPr>
          <w:rFonts w:hint="eastAsia" w:ascii="宋体" w:hAnsi="宋体" w:cs="Arial"/>
          <w:szCs w:val="21"/>
        </w:rPr>
      </w:pPr>
      <w:r>
        <w:rPr>
          <w:rFonts w:ascii="宋体" w:hAnsi="宋体" w:cs="Arial"/>
          <w:szCs w:val="21"/>
        </w:rPr>
        <w:t>17.4</w:t>
      </w:r>
      <w:r>
        <w:rPr>
          <w:rFonts w:hint="eastAsia" w:ascii="宋体" w:hAnsi="宋体" w:cs="Arial"/>
          <w:szCs w:val="21"/>
        </w:rPr>
        <w:t>比选后，比选供应商不得撤回响应文件，否则，其比选保证金将不予退还。</w:t>
      </w:r>
    </w:p>
    <w:p w14:paraId="78CC8FC8">
      <w:pPr>
        <w:spacing w:line="400" w:lineRule="exact"/>
        <w:jc w:val="center"/>
        <w:rPr>
          <w:rFonts w:hint="eastAsia" w:ascii="宋体" w:hAnsi="宋体"/>
          <w:b/>
        </w:rPr>
      </w:pPr>
      <w:bookmarkStart w:id="402" w:name="_Toc513039468"/>
      <w:bookmarkStart w:id="403" w:name="_Toc325622542"/>
      <w:bookmarkStart w:id="404" w:name="_Toc141675393"/>
      <w:bookmarkStart w:id="405" w:name="_Toc428969054"/>
      <w:bookmarkStart w:id="406" w:name="_Toc400720559"/>
      <w:bookmarkStart w:id="407" w:name="_Toc324413084"/>
      <w:bookmarkStart w:id="408" w:name="_Toc322958554"/>
      <w:bookmarkStart w:id="409" w:name="_Toc325711642"/>
      <w:bookmarkStart w:id="410" w:name="_Toc406763745"/>
      <w:bookmarkStart w:id="411" w:name="_Toc345343655"/>
      <w:bookmarkStart w:id="412" w:name="_Toc411258090"/>
      <w:bookmarkStart w:id="413" w:name="_Toc348800120"/>
      <w:bookmarkStart w:id="414" w:name="_Toc352157823"/>
      <w:bookmarkStart w:id="415" w:name="_Toc346207084"/>
      <w:bookmarkStart w:id="416" w:name="_Toc345927379"/>
      <w:r>
        <w:rPr>
          <w:rFonts w:ascii="宋体" w:hAnsi="宋体"/>
          <w:b/>
        </w:rPr>
        <w:t>E</w:t>
      </w:r>
      <w:r>
        <w:rPr>
          <w:rFonts w:hint="eastAsia" w:ascii="宋体" w:hAnsi="宋体"/>
          <w:b/>
        </w:rPr>
        <w:t>比选及评</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r>
        <w:rPr>
          <w:rFonts w:hint="eastAsia" w:ascii="宋体" w:hAnsi="宋体"/>
          <w:b/>
        </w:rPr>
        <w:t>审</w:t>
      </w:r>
    </w:p>
    <w:p w14:paraId="5AB4E63D">
      <w:pPr>
        <w:pStyle w:val="472"/>
        <w:widowControl/>
        <w:adjustRightInd w:val="0"/>
        <w:snapToGrid w:val="0"/>
        <w:spacing w:afterLines="0" w:line="440" w:lineRule="atLeast"/>
        <w:ind w:left="0" w:firstLine="0"/>
        <w:jc w:val="left"/>
        <w:outlineLvl w:val="1"/>
        <w:rPr>
          <w:rFonts w:hint="eastAsia" w:ascii="宋体" w:hAnsi="宋体"/>
          <w:b/>
        </w:rPr>
      </w:pPr>
      <w:bookmarkStart w:id="417" w:name="_Toc345927380"/>
      <w:bookmarkStart w:id="418" w:name="_Toc325711643"/>
      <w:bookmarkStart w:id="419" w:name="_Toc400720560"/>
      <w:bookmarkStart w:id="420" w:name="_Toc325622543"/>
      <w:bookmarkStart w:id="421" w:name="_Toc9397"/>
      <w:bookmarkStart w:id="422" w:name="_Toc345343656"/>
      <w:bookmarkStart w:id="423" w:name="_Toc324413085"/>
      <w:bookmarkStart w:id="424" w:name="_Toc411258091"/>
      <w:bookmarkStart w:id="425" w:name="_Toc348800121"/>
      <w:bookmarkStart w:id="426" w:name="_Toc428969055"/>
      <w:bookmarkStart w:id="427" w:name="_Toc322958555"/>
      <w:bookmarkStart w:id="428" w:name="_Toc513039469"/>
      <w:bookmarkStart w:id="429" w:name="_Toc352157824"/>
      <w:bookmarkStart w:id="430" w:name="_Toc406763746"/>
      <w:bookmarkStart w:id="431" w:name="_Toc141675394"/>
      <w:bookmarkStart w:id="432" w:name="_Toc346207085"/>
      <w:bookmarkStart w:id="433" w:name="_Toc21756"/>
      <w:bookmarkStart w:id="434" w:name="_Toc19331"/>
      <w:bookmarkStart w:id="435" w:name="_Toc25320"/>
      <w:r>
        <w:rPr>
          <w:rFonts w:ascii="宋体" w:hAnsi="宋体"/>
          <w:b/>
        </w:rPr>
        <w:t>18.</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r>
        <w:rPr>
          <w:rFonts w:hint="eastAsia" w:ascii="宋体" w:hAnsi="宋体"/>
          <w:b/>
        </w:rPr>
        <w:t>比选</w:t>
      </w:r>
      <w:bookmarkEnd w:id="435"/>
    </w:p>
    <w:p w14:paraId="68F1924A">
      <w:pPr>
        <w:tabs>
          <w:tab w:val="left" w:pos="1050"/>
          <w:tab w:val="left" w:pos="1470"/>
        </w:tabs>
        <w:adjustRightInd w:val="0"/>
        <w:snapToGrid w:val="0"/>
        <w:spacing w:line="400" w:lineRule="exact"/>
        <w:ind w:firstLine="420" w:firstLineChars="200"/>
        <w:rPr>
          <w:rFonts w:hint="eastAsia" w:ascii="宋体" w:hAnsi="宋体" w:cs="Arial"/>
          <w:szCs w:val="21"/>
        </w:rPr>
      </w:pPr>
      <w:r>
        <w:rPr>
          <w:rFonts w:ascii="宋体" w:hAnsi="宋体" w:cs="Arial"/>
          <w:szCs w:val="21"/>
        </w:rPr>
        <w:t>18.1</w:t>
      </w:r>
      <w:r>
        <w:rPr>
          <w:rFonts w:hint="eastAsia" w:ascii="宋体" w:hAnsi="宋体" w:cs="Arial"/>
          <w:szCs w:val="21"/>
        </w:rPr>
        <w:t>主持人按比选文件比选供应商须知前附表规定的时间、地点主持比选。</w:t>
      </w:r>
    </w:p>
    <w:p w14:paraId="168622D0">
      <w:pPr>
        <w:tabs>
          <w:tab w:val="left" w:pos="1050"/>
          <w:tab w:val="left" w:pos="1470"/>
        </w:tabs>
        <w:adjustRightInd w:val="0"/>
        <w:snapToGrid w:val="0"/>
        <w:spacing w:line="400" w:lineRule="exact"/>
        <w:ind w:firstLine="420" w:firstLineChars="200"/>
        <w:rPr>
          <w:rFonts w:hint="eastAsia" w:ascii="宋体" w:hAnsi="宋体" w:cs="Arial"/>
          <w:szCs w:val="21"/>
        </w:rPr>
      </w:pPr>
      <w:r>
        <w:rPr>
          <w:rFonts w:ascii="宋体" w:hAnsi="宋体" w:cs="Arial"/>
          <w:szCs w:val="21"/>
        </w:rPr>
        <w:t>18.</w:t>
      </w:r>
      <w:r>
        <w:rPr>
          <w:rFonts w:hint="eastAsia" w:ascii="宋体" w:hAnsi="宋体" w:cs="Arial"/>
          <w:szCs w:val="21"/>
        </w:rPr>
        <w:t>2比选人应请有关监督部门的人员参加比选过程的监督。</w:t>
      </w:r>
    </w:p>
    <w:p w14:paraId="32F237B1">
      <w:pPr>
        <w:tabs>
          <w:tab w:val="left" w:pos="1050"/>
          <w:tab w:val="left" w:pos="1470"/>
        </w:tabs>
        <w:adjustRightInd w:val="0"/>
        <w:snapToGrid w:val="0"/>
        <w:spacing w:line="400" w:lineRule="exact"/>
        <w:ind w:firstLine="420" w:firstLineChars="200"/>
        <w:rPr>
          <w:rFonts w:hint="eastAsia" w:ascii="宋体" w:hAnsi="宋体" w:cs="Arial"/>
          <w:szCs w:val="21"/>
        </w:rPr>
      </w:pPr>
      <w:r>
        <w:rPr>
          <w:rFonts w:ascii="宋体" w:hAnsi="宋体" w:cs="Arial"/>
          <w:szCs w:val="21"/>
        </w:rPr>
        <w:t>18.4</w:t>
      </w:r>
      <w:r>
        <w:rPr>
          <w:rFonts w:hint="eastAsia" w:ascii="宋体" w:hAnsi="宋体" w:cs="Arial"/>
          <w:szCs w:val="21"/>
        </w:rPr>
        <w:t>比选供应商可自愿派代表参加比选会议。</w:t>
      </w:r>
    </w:p>
    <w:p w14:paraId="114F48A3">
      <w:pPr>
        <w:tabs>
          <w:tab w:val="left" w:pos="1050"/>
          <w:tab w:val="left" w:pos="1470"/>
        </w:tabs>
        <w:adjustRightInd w:val="0"/>
        <w:snapToGrid w:val="0"/>
        <w:spacing w:line="400" w:lineRule="exact"/>
        <w:ind w:firstLine="420" w:firstLineChars="200"/>
        <w:rPr>
          <w:rFonts w:hint="eastAsia" w:ascii="宋体" w:hAnsi="宋体" w:cs="Arial"/>
          <w:szCs w:val="21"/>
        </w:rPr>
      </w:pPr>
      <w:r>
        <w:rPr>
          <w:rFonts w:ascii="宋体" w:hAnsi="宋体" w:cs="Arial"/>
          <w:szCs w:val="21"/>
        </w:rPr>
        <w:t>18.5</w:t>
      </w:r>
      <w:r>
        <w:rPr>
          <w:rFonts w:hint="eastAsia" w:ascii="宋体" w:hAnsi="宋体" w:cs="Arial"/>
          <w:szCs w:val="21"/>
        </w:rPr>
        <w:t>比选会议：详见比选供应商须知前附表。</w:t>
      </w:r>
    </w:p>
    <w:p w14:paraId="29A245B2">
      <w:pPr>
        <w:pStyle w:val="472"/>
        <w:widowControl/>
        <w:adjustRightInd w:val="0"/>
        <w:snapToGrid w:val="0"/>
        <w:spacing w:afterLines="0" w:line="440" w:lineRule="atLeast"/>
        <w:ind w:left="0" w:firstLine="0"/>
        <w:jc w:val="left"/>
        <w:outlineLvl w:val="1"/>
        <w:rPr>
          <w:rFonts w:hint="eastAsia" w:ascii="宋体" w:hAnsi="宋体"/>
          <w:b/>
        </w:rPr>
      </w:pPr>
      <w:bookmarkStart w:id="436" w:name="_Toc141675395"/>
      <w:bookmarkStart w:id="437" w:name="_Toc406763747"/>
      <w:bookmarkStart w:id="438" w:name="_Toc325622544"/>
      <w:bookmarkStart w:id="439" w:name="_Toc25933"/>
      <w:bookmarkStart w:id="440" w:name="_Toc324413086"/>
      <w:bookmarkStart w:id="441" w:name="_Toc428969056"/>
      <w:bookmarkStart w:id="442" w:name="_Toc325711644"/>
      <w:bookmarkStart w:id="443" w:name="_Toc20192"/>
      <w:bookmarkStart w:id="444" w:name="_Toc400720561"/>
      <w:bookmarkStart w:id="445" w:name="_Toc345927381"/>
      <w:bookmarkStart w:id="446" w:name="_Toc346207086"/>
      <w:bookmarkStart w:id="447" w:name="_Toc513039470"/>
      <w:bookmarkStart w:id="448" w:name="_Toc322958556"/>
      <w:bookmarkStart w:id="449" w:name="_Toc345343657"/>
      <w:bookmarkStart w:id="450" w:name="_Toc352157825"/>
      <w:bookmarkStart w:id="451" w:name="_Toc411258092"/>
      <w:bookmarkStart w:id="452" w:name="_Toc348800122"/>
      <w:bookmarkStart w:id="453" w:name="_Toc8215"/>
      <w:bookmarkStart w:id="454" w:name="_Toc26499"/>
      <w:r>
        <w:rPr>
          <w:rFonts w:ascii="宋体" w:hAnsi="宋体"/>
          <w:b/>
        </w:rPr>
        <w:t>19.</w:t>
      </w:r>
      <w:bookmarkEnd w:id="436"/>
      <w:r>
        <w:rPr>
          <w:rFonts w:hint="eastAsia" w:ascii="宋体" w:hAnsi="宋体"/>
          <w:b/>
        </w:rPr>
        <w:t>评</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r>
        <w:rPr>
          <w:rFonts w:hint="eastAsia" w:ascii="宋体" w:hAnsi="宋体"/>
          <w:b/>
        </w:rPr>
        <w:t>审</w:t>
      </w:r>
      <w:bookmarkEnd w:id="454"/>
    </w:p>
    <w:p w14:paraId="51588525">
      <w:pPr>
        <w:tabs>
          <w:tab w:val="left" w:pos="1050"/>
          <w:tab w:val="left" w:pos="1470"/>
        </w:tabs>
        <w:adjustRightInd w:val="0"/>
        <w:snapToGrid w:val="0"/>
        <w:spacing w:line="400" w:lineRule="exact"/>
        <w:ind w:firstLine="420" w:firstLineChars="200"/>
        <w:rPr>
          <w:rFonts w:hint="eastAsia" w:ascii="宋体" w:hAnsi="宋体" w:cs="Arial"/>
          <w:szCs w:val="21"/>
        </w:rPr>
      </w:pPr>
      <w:r>
        <w:rPr>
          <w:rFonts w:ascii="宋体" w:hAnsi="宋体" w:cs="Arial"/>
          <w:szCs w:val="21"/>
        </w:rPr>
        <w:t>19.1</w:t>
      </w:r>
      <w:r>
        <w:rPr>
          <w:rFonts w:hint="eastAsia" w:ascii="宋体" w:hAnsi="宋体" w:cs="Arial"/>
          <w:szCs w:val="21"/>
        </w:rPr>
        <w:t>评审委员会。</w:t>
      </w:r>
    </w:p>
    <w:p w14:paraId="4BF8C138">
      <w:pPr>
        <w:tabs>
          <w:tab w:val="left" w:pos="1050"/>
          <w:tab w:val="left" w:pos="1470"/>
        </w:tabs>
        <w:adjustRightInd w:val="0"/>
        <w:snapToGrid w:val="0"/>
        <w:spacing w:line="400" w:lineRule="exact"/>
        <w:ind w:firstLine="420" w:firstLineChars="200"/>
        <w:rPr>
          <w:rFonts w:hint="eastAsia" w:ascii="宋体" w:hAnsi="宋体" w:cs="Arial"/>
          <w:szCs w:val="21"/>
        </w:rPr>
      </w:pPr>
      <w:r>
        <w:rPr>
          <w:rFonts w:ascii="宋体" w:hAnsi="宋体" w:cs="Arial"/>
          <w:szCs w:val="21"/>
        </w:rPr>
        <w:t>19.1.1</w:t>
      </w:r>
      <w:r>
        <w:rPr>
          <w:rFonts w:hint="eastAsia" w:ascii="宋体" w:hAnsi="宋体" w:cs="Arial"/>
          <w:szCs w:val="21"/>
        </w:rPr>
        <w:t>评审由比选人依法组建的评审委员会负责。</w:t>
      </w:r>
    </w:p>
    <w:p w14:paraId="211966F3">
      <w:pPr>
        <w:tabs>
          <w:tab w:val="left" w:pos="1050"/>
          <w:tab w:val="left" w:pos="1470"/>
        </w:tabs>
        <w:adjustRightInd w:val="0"/>
        <w:snapToGrid w:val="0"/>
        <w:spacing w:line="400" w:lineRule="exact"/>
        <w:ind w:firstLine="420" w:firstLineChars="200"/>
        <w:rPr>
          <w:rFonts w:hint="eastAsia" w:ascii="宋体" w:hAnsi="宋体" w:cs="Arial"/>
          <w:szCs w:val="21"/>
        </w:rPr>
      </w:pPr>
      <w:r>
        <w:rPr>
          <w:rFonts w:ascii="宋体" w:hAnsi="宋体" w:cs="Arial"/>
          <w:szCs w:val="21"/>
        </w:rPr>
        <w:t>19.1.2</w:t>
      </w:r>
      <w:r>
        <w:rPr>
          <w:rFonts w:hint="eastAsia" w:ascii="宋体" w:hAnsi="宋体" w:cs="Arial"/>
          <w:szCs w:val="21"/>
        </w:rPr>
        <w:t>评审委员会成员有下列情形之一的，应当回避：</w:t>
      </w:r>
    </w:p>
    <w:p w14:paraId="668F3771">
      <w:pPr>
        <w:tabs>
          <w:tab w:val="left" w:pos="1050"/>
          <w:tab w:val="left" w:pos="1470"/>
        </w:tabs>
        <w:adjustRightInd w:val="0"/>
        <w:snapToGrid w:val="0"/>
        <w:spacing w:line="400" w:lineRule="exact"/>
        <w:ind w:firstLine="420" w:firstLineChars="200"/>
        <w:rPr>
          <w:rFonts w:hint="eastAsia" w:ascii="宋体" w:hAnsi="宋体" w:cs="Arial"/>
          <w:szCs w:val="21"/>
        </w:rPr>
      </w:pPr>
      <w:r>
        <w:rPr>
          <w:rFonts w:hint="eastAsia" w:ascii="宋体" w:hAnsi="宋体" w:cs="Arial"/>
          <w:szCs w:val="21"/>
        </w:rPr>
        <w:t>（</w:t>
      </w:r>
      <w:r>
        <w:rPr>
          <w:rFonts w:ascii="宋体" w:hAnsi="宋体" w:cs="Arial"/>
          <w:szCs w:val="21"/>
        </w:rPr>
        <w:t>1</w:t>
      </w:r>
      <w:r>
        <w:rPr>
          <w:rFonts w:hint="eastAsia" w:ascii="宋体" w:hAnsi="宋体" w:cs="Arial"/>
          <w:szCs w:val="21"/>
        </w:rPr>
        <w:t>）比选人或比选供应商的主要负责人的近亲属；</w:t>
      </w:r>
    </w:p>
    <w:p w14:paraId="1F4EC89D">
      <w:pPr>
        <w:tabs>
          <w:tab w:val="left" w:pos="1050"/>
          <w:tab w:val="left" w:pos="1470"/>
        </w:tabs>
        <w:adjustRightInd w:val="0"/>
        <w:snapToGrid w:val="0"/>
        <w:spacing w:line="400" w:lineRule="exact"/>
        <w:ind w:firstLine="420" w:firstLineChars="200"/>
        <w:rPr>
          <w:rFonts w:hint="eastAsia" w:ascii="宋体" w:hAnsi="宋体" w:cs="Arial"/>
          <w:szCs w:val="21"/>
        </w:rPr>
      </w:pPr>
      <w:r>
        <w:rPr>
          <w:rFonts w:hint="eastAsia" w:ascii="宋体" w:hAnsi="宋体" w:cs="Arial"/>
          <w:szCs w:val="21"/>
        </w:rPr>
        <w:t>（</w:t>
      </w:r>
      <w:r>
        <w:rPr>
          <w:rFonts w:ascii="宋体" w:hAnsi="宋体" w:cs="Arial"/>
          <w:szCs w:val="21"/>
        </w:rPr>
        <w:t>2</w:t>
      </w:r>
      <w:r>
        <w:rPr>
          <w:rFonts w:hint="eastAsia" w:ascii="宋体" w:hAnsi="宋体" w:cs="Arial"/>
          <w:szCs w:val="21"/>
        </w:rPr>
        <w:t>）项目主管部门或者行政监督部门的人员；</w:t>
      </w:r>
    </w:p>
    <w:p w14:paraId="2C72EB5B">
      <w:pPr>
        <w:tabs>
          <w:tab w:val="left" w:pos="1050"/>
          <w:tab w:val="left" w:pos="1470"/>
        </w:tabs>
        <w:adjustRightInd w:val="0"/>
        <w:snapToGrid w:val="0"/>
        <w:spacing w:line="400" w:lineRule="exact"/>
        <w:ind w:firstLine="420" w:firstLineChars="200"/>
        <w:rPr>
          <w:rFonts w:hint="eastAsia" w:ascii="宋体" w:hAnsi="宋体" w:cs="Arial"/>
          <w:szCs w:val="21"/>
        </w:rPr>
      </w:pPr>
      <w:r>
        <w:rPr>
          <w:rFonts w:hint="eastAsia" w:ascii="宋体" w:hAnsi="宋体" w:cs="Arial"/>
          <w:szCs w:val="21"/>
        </w:rPr>
        <w:t>（</w:t>
      </w:r>
      <w:r>
        <w:rPr>
          <w:rFonts w:ascii="宋体" w:hAnsi="宋体" w:cs="Arial"/>
          <w:szCs w:val="21"/>
        </w:rPr>
        <w:t>3</w:t>
      </w:r>
      <w:r>
        <w:rPr>
          <w:rFonts w:hint="eastAsia" w:ascii="宋体" w:hAnsi="宋体" w:cs="Arial"/>
          <w:szCs w:val="21"/>
        </w:rPr>
        <w:t>）与比选供应商有经济利益关系，可能影响对比选公正评审的；</w:t>
      </w:r>
    </w:p>
    <w:p w14:paraId="4FBBBE00">
      <w:pPr>
        <w:tabs>
          <w:tab w:val="left" w:pos="1050"/>
          <w:tab w:val="left" w:pos="1470"/>
        </w:tabs>
        <w:adjustRightInd w:val="0"/>
        <w:snapToGrid w:val="0"/>
        <w:spacing w:line="400" w:lineRule="exact"/>
        <w:ind w:firstLine="420" w:firstLineChars="200"/>
        <w:rPr>
          <w:rFonts w:hint="eastAsia" w:ascii="宋体" w:hAnsi="宋体" w:cs="Arial"/>
          <w:szCs w:val="21"/>
        </w:rPr>
      </w:pPr>
      <w:r>
        <w:rPr>
          <w:rFonts w:hint="eastAsia" w:ascii="宋体" w:hAnsi="宋体" w:cs="Arial"/>
          <w:szCs w:val="21"/>
        </w:rPr>
        <w:t>（</w:t>
      </w:r>
      <w:r>
        <w:rPr>
          <w:rFonts w:ascii="宋体" w:hAnsi="宋体" w:cs="Arial"/>
          <w:szCs w:val="21"/>
        </w:rPr>
        <w:t>4</w:t>
      </w:r>
      <w:r>
        <w:rPr>
          <w:rFonts w:hint="eastAsia" w:ascii="宋体" w:hAnsi="宋体" w:cs="Arial"/>
          <w:szCs w:val="21"/>
        </w:rPr>
        <w:t>）曾因在比选（招标）、评审（评标）以及其他与比选（招标投标）有关活动中从事违法行为而受过行政处罚或刑事处罚的；</w:t>
      </w:r>
    </w:p>
    <w:p w14:paraId="7074EBD3">
      <w:pPr>
        <w:tabs>
          <w:tab w:val="left" w:pos="1050"/>
          <w:tab w:val="left" w:pos="1470"/>
        </w:tabs>
        <w:adjustRightInd w:val="0"/>
        <w:snapToGrid w:val="0"/>
        <w:spacing w:line="400" w:lineRule="exact"/>
        <w:ind w:firstLine="420" w:firstLineChars="200"/>
        <w:rPr>
          <w:rFonts w:hint="eastAsia" w:ascii="宋体" w:hAnsi="宋体" w:cs="Arial"/>
          <w:szCs w:val="21"/>
        </w:rPr>
      </w:pPr>
      <w:r>
        <w:rPr>
          <w:rFonts w:hint="eastAsia" w:ascii="宋体" w:hAnsi="宋体" w:cs="Arial"/>
          <w:szCs w:val="21"/>
        </w:rPr>
        <w:t>（</w:t>
      </w:r>
      <w:r>
        <w:rPr>
          <w:rFonts w:ascii="宋体" w:hAnsi="宋体" w:cs="Arial"/>
          <w:szCs w:val="21"/>
        </w:rPr>
        <w:t>5</w:t>
      </w:r>
      <w:r>
        <w:rPr>
          <w:rFonts w:hint="eastAsia" w:ascii="宋体" w:hAnsi="宋体" w:cs="Arial"/>
          <w:szCs w:val="21"/>
        </w:rPr>
        <w:t>）与比选供应商有其他利害关系。</w:t>
      </w:r>
    </w:p>
    <w:p w14:paraId="5087F816">
      <w:pPr>
        <w:tabs>
          <w:tab w:val="left" w:pos="1050"/>
          <w:tab w:val="left" w:pos="1470"/>
        </w:tabs>
        <w:adjustRightInd w:val="0"/>
        <w:snapToGrid w:val="0"/>
        <w:spacing w:line="400" w:lineRule="exact"/>
        <w:ind w:firstLine="420" w:firstLineChars="200"/>
        <w:rPr>
          <w:rFonts w:hint="eastAsia" w:ascii="宋体" w:hAnsi="宋体" w:cs="Arial"/>
          <w:szCs w:val="21"/>
        </w:rPr>
      </w:pPr>
      <w:r>
        <w:rPr>
          <w:rFonts w:ascii="宋体" w:hAnsi="宋体" w:cs="Arial"/>
          <w:szCs w:val="21"/>
        </w:rPr>
        <w:t>19.1.3</w:t>
      </w:r>
      <w:r>
        <w:rPr>
          <w:rFonts w:hint="eastAsia" w:ascii="宋体" w:hAnsi="宋体" w:cs="Arial"/>
          <w:szCs w:val="21"/>
        </w:rPr>
        <w:t>比选人应当向评审委员会提供评审所必需的信息，但不得明示或者暗示其倾向或者排斥特定比选供应商。</w:t>
      </w:r>
    </w:p>
    <w:p w14:paraId="0B453658">
      <w:pPr>
        <w:tabs>
          <w:tab w:val="left" w:pos="1050"/>
          <w:tab w:val="left" w:pos="1470"/>
        </w:tabs>
        <w:adjustRightInd w:val="0"/>
        <w:snapToGrid w:val="0"/>
        <w:spacing w:line="400" w:lineRule="exact"/>
        <w:ind w:firstLine="420" w:firstLineChars="200"/>
        <w:rPr>
          <w:rFonts w:hint="eastAsia" w:ascii="宋体" w:hAnsi="宋体" w:cs="Arial"/>
          <w:szCs w:val="21"/>
        </w:rPr>
      </w:pPr>
      <w:r>
        <w:rPr>
          <w:rFonts w:ascii="宋体" w:hAnsi="宋体" w:cs="Arial"/>
          <w:szCs w:val="21"/>
        </w:rPr>
        <w:t>19.1.4</w:t>
      </w:r>
      <w:r>
        <w:rPr>
          <w:rFonts w:hint="eastAsia" w:ascii="宋体" w:hAnsi="宋体" w:cs="Arial"/>
          <w:szCs w:val="21"/>
        </w:rPr>
        <w:t>比选人应当根据项目规模和技术复杂程度等因素合理确定评标时间。超过三分之一的评标委员会成员认为评标时间不够的，比选人应当适当延长。</w:t>
      </w:r>
    </w:p>
    <w:p w14:paraId="794272FB">
      <w:pPr>
        <w:tabs>
          <w:tab w:val="left" w:pos="1050"/>
          <w:tab w:val="left" w:pos="1470"/>
        </w:tabs>
        <w:adjustRightInd w:val="0"/>
        <w:snapToGrid w:val="0"/>
        <w:spacing w:line="400" w:lineRule="exact"/>
        <w:ind w:firstLine="420" w:firstLineChars="200"/>
        <w:rPr>
          <w:rFonts w:hint="eastAsia" w:ascii="宋体" w:hAnsi="宋体" w:cs="Arial"/>
          <w:szCs w:val="21"/>
        </w:rPr>
      </w:pPr>
      <w:r>
        <w:rPr>
          <w:rFonts w:ascii="宋体" w:hAnsi="宋体" w:cs="Arial"/>
          <w:szCs w:val="21"/>
        </w:rPr>
        <w:t>19.1.5</w:t>
      </w:r>
      <w:r>
        <w:rPr>
          <w:rFonts w:hint="eastAsia" w:ascii="宋体" w:hAnsi="宋体" w:cs="Arial"/>
          <w:szCs w:val="21"/>
        </w:rPr>
        <w:t>评审过程中，评审委员会成员有回避事由、擅离职守或者因健康等原因不能继续评审的，应当及时更换。被更换的评审委员会成员作出的评审结论无效，由更换后的评审委员会成员重新进行评审。</w:t>
      </w:r>
    </w:p>
    <w:p w14:paraId="0541FD0D">
      <w:pPr>
        <w:tabs>
          <w:tab w:val="left" w:pos="1050"/>
          <w:tab w:val="left" w:pos="1470"/>
        </w:tabs>
        <w:adjustRightInd w:val="0"/>
        <w:snapToGrid w:val="0"/>
        <w:spacing w:line="400" w:lineRule="exact"/>
        <w:ind w:firstLine="420" w:firstLineChars="200"/>
        <w:rPr>
          <w:rFonts w:hint="eastAsia" w:ascii="宋体" w:hAnsi="宋体" w:cs="Arial"/>
          <w:szCs w:val="21"/>
        </w:rPr>
      </w:pPr>
      <w:r>
        <w:rPr>
          <w:rFonts w:ascii="宋体" w:hAnsi="宋体" w:cs="Arial"/>
          <w:szCs w:val="21"/>
        </w:rPr>
        <w:t>19.2</w:t>
      </w:r>
      <w:r>
        <w:rPr>
          <w:rFonts w:hint="eastAsia" w:ascii="宋体" w:hAnsi="宋体" w:cs="Arial"/>
          <w:szCs w:val="21"/>
        </w:rPr>
        <w:t>评审原则</w:t>
      </w:r>
    </w:p>
    <w:p w14:paraId="4F95848F">
      <w:pPr>
        <w:tabs>
          <w:tab w:val="left" w:pos="1050"/>
          <w:tab w:val="left" w:pos="1470"/>
        </w:tabs>
        <w:adjustRightInd w:val="0"/>
        <w:snapToGrid w:val="0"/>
        <w:spacing w:line="400" w:lineRule="exact"/>
        <w:ind w:firstLine="420" w:firstLineChars="200"/>
        <w:rPr>
          <w:rFonts w:hint="eastAsia" w:ascii="宋体" w:hAnsi="宋体" w:cs="Arial"/>
          <w:szCs w:val="21"/>
        </w:rPr>
      </w:pPr>
      <w:r>
        <w:rPr>
          <w:rFonts w:hint="eastAsia" w:ascii="宋体" w:hAnsi="宋体" w:cs="Arial"/>
          <w:szCs w:val="21"/>
        </w:rPr>
        <w:t>评审原则遵循公平、公正、科学和择优的原则。</w:t>
      </w:r>
    </w:p>
    <w:p w14:paraId="360B3B90">
      <w:pPr>
        <w:tabs>
          <w:tab w:val="left" w:pos="1050"/>
          <w:tab w:val="left" w:pos="1470"/>
        </w:tabs>
        <w:adjustRightInd w:val="0"/>
        <w:snapToGrid w:val="0"/>
        <w:spacing w:line="400" w:lineRule="exact"/>
        <w:ind w:firstLine="420" w:firstLineChars="200"/>
        <w:rPr>
          <w:rFonts w:hint="eastAsia" w:ascii="宋体" w:hAnsi="宋体" w:cs="Arial"/>
          <w:szCs w:val="21"/>
        </w:rPr>
      </w:pPr>
      <w:r>
        <w:rPr>
          <w:rFonts w:ascii="宋体" w:hAnsi="宋体" w:cs="Arial"/>
          <w:szCs w:val="21"/>
        </w:rPr>
        <w:t>19.3</w:t>
      </w:r>
      <w:r>
        <w:rPr>
          <w:rFonts w:hint="eastAsia" w:ascii="宋体" w:hAnsi="宋体" w:cs="Arial"/>
          <w:szCs w:val="21"/>
        </w:rPr>
        <w:t>评审方法</w:t>
      </w:r>
    </w:p>
    <w:p w14:paraId="67F8E671">
      <w:pPr>
        <w:tabs>
          <w:tab w:val="left" w:pos="1050"/>
          <w:tab w:val="left" w:pos="1470"/>
        </w:tabs>
        <w:adjustRightInd w:val="0"/>
        <w:snapToGrid w:val="0"/>
        <w:spacing w:line="400" w:lineRule="exact"/>
        <w:ind w:firstLine="420" w:firstLineChars="200"/>
        <w:rPr>
          <w:rFonts w:hint="eastAsia" w:ascii="宋体" w:hAnsi="宋体" w:cs="Arial"/>
          <w:szCs w:val="21"/>
        </w:rPr>
      </w:pPr>
      <w:r>
        <w:rPr>
          <w:rFonts w:hint="eastAsia" w:ascii="宋体" w:hAnsi="宋体" w:cs="Arial"/>
          <w:szCs w:val="21"/>
        </w:rPr>
        <w:t>详见第三章“评审办法”。</w:t>
      </w:r>
    </w:p>
    <w:p w14:paraId="52AD62CD">
      <w:pPr>
        <w:tabs>
          <w:tab w:val="left" w:pos="1050"/>
          <w:tab w:val="left" w:pos="1470"/>
        </w:tabs>
        <w:adjustRightInd w:val="0"/>
        <w:snapToGrid w:val="0"/>
        <w:spacing w:line="400" w:lineRule="exact"/>
        <w:ind w:firstLine="420" w:firstLineChars="200"/>
        <w:rPr>
          <w:rFonts w:hint="eastAsia" w:ascii="宋体" w:hAnsi="宋体" w:cs="Arial"/>
          <w:szCs w:val="21"/>
        </w:rPr>
      </w:pPr>
      <w:r>
        <w:rPr>
          <w:rFonts w:ascii="宋体" w:hAnsi="宋体" w:cs="Arial"/>
          <w:szCs w:val="21"/>
        </w:rPr>
        <w:t>19.4</w:t>
      </w:r>
      <w:r>
        <w:rPr>
          <w:rFonts w:hint="eastAsia" w:ascii="宋体" w:hAnsi="宋体" w:cs="Arial"/>
          <w:szCs w:val="21"/>
        </w:rPr>
        <w:t>评审标准</w:t>
      </w:r>
    </w:p>
    <w:p w14:paraId="60B445EF">
      <w:pPr>
        <w:tabs>
          <w:tab w:val="left" w:pos="1050"/>
          <w:tab w:val="left" w:pos="1470"/>
        </w:tabs>
        <w:adjustRightInd w:val="0"/>
        <w:snapToGrid w:val="0"/>
        <w:spacing w:line="400" w:lineRule="exact"/>
        <w:ind w:firstLine="420" w:firstLineChars="200"/>
        <w:rPr>
          <w:rFonts w:hint="eastAsia" w:ascii="宋体" w:hAnsi="宋体" w:cs="Arial"/>
          <w:szCs w:val="21"/>
        </w:rPr>
      </w:pPr>
      <w:r>
        <w:rPr>
          <w:rFonts w:ascii="宋体" w:hAnsi="宋体" w:cs="Arial"/>
          <w:szCs w:val="21"/>
        </w:rPr>
        <w:t>19.4.1</w:t>
      </w:r>
      <w:r>
        <w:rPr>
          <w:rFonts w:hint="eastAsia" w:ascii="宋体" w:hAnsi="宋体" w:cs="Arial"/>
          <w:szCs w:val="21"/>
        </w:rPr>
        <w:t>初步评审</w:t>
      </w:r>
    </w:p>
    <w:p w14:paraId="7EEBDE80">
      <w:pPr>
        <w:tabs>
          <w:tab w:val="left" w:pos="1050"/>
          <w:tab w:val="left" w:pos="1470"/>
        </w:tabs>
        <w:adjustRightInd w:val="0"/>
        <w:snapToGrid w:val="0"/>
        <w:spacing w:line="400" w:lineRule="exact"/>
        <w:ind w:firstLine="420" w:firstLineChars="200"/>
        <w:rPr>
          <w:rFonts w:hint="eastAsia" w:ascii="宋体" w:hAnsi="宋体" w:cs="Arial"/>
          <w:szCs w:val="21"/>
        </w:rPr>
      </w:pPr>
      <w:r>
        <w:rPr>
          <w:rFonts w:hint="eastAsia" w:ascii="宋体" w:hAnsi="宋体" w:cs="Arial"/>
          <w:szCs w:val="21"/>
        </w:rPr>
        <w:t>详见第三章“评审办法”。</w:t>
      </w:r>
    </w:p>
    <w:p w14:paraId="39C3DE4B">
      <w:pPr>
        <w:tabs>
          <w:tab w:val="left" w:pos="1050"/>
          <w:tab w:val="left" w:pos="1470"/>
        </w:tabs>
        <w:adjustRightInd w:val="0"/>
        <w:snapToGrid w:val="0"/>
        <w:spacing w:line="400" w:lineRule="exact"/>
        <w:ind w:firstLine="420" w:firstLineChars="200"/>
        <w:rPr>
          <w:rFonts w:hint="eastAsia" w:ascii="宋体" w:hAnsi="宋体" w:cs="Arial"/>
          <w:szCs w:val="21"/>
        </w:rPr>
      </w:pPr>
      <w:bookmarkStart w:id="455" w:name="_Hlk159107087"/>
      <w:r>
        <w:rPr>
          <w:rFonts w:ascii="宋体" w:hAnsi="宋体" w:cs="Arial"/>
          <w:szCs w:val="21"/>
        </w:rPr>
        <w:t>19.4.2</w:t>
      </w:r>
      <w:r>
        <w:rPr>
          <w:rFonts w:hint="eastAsia" w:ascii="宋体" w:hAnsi="宋体" w:cs="Arial"/>
          <w:szCs w:val="21"/>
        </w:rPr>
        <w:t>分值构成与评分标准</w:t>
      </w:r>
    </w:p>
    <w:p w14:paraId="2A33BE96">
      <w:pPr>
        <w:tabs>
          <w:tab w:val="left" w:pos="1050"/>
          <w:tab w:val="left" w:pos="1470"/>
        </w:tabs>
        <w:adjustRightInd w:val="0"/>
        <w:snapToGrid w:val="0"/>
        <w:spacing w:line="400" w:lineRule="exact"/>
        <w:ind w:firstLine="420" w:firstLineChars="200"/>
        <w:rPr>
          <w:rFonts w:hint="eastAsia" w:ascii="宋体" w:hAnsi="宋体" w:cs="Arial"/>
          <w:szCs w:val="21"/>
        </w:rPr>
      </w:pPr>
      <w:r>
        <w:rPr>
          <w:rFonts w:hint="eastAsia" w:ascii="宋体" w:hAnsi="宋体" w:cs="Arial"/>
          <w:szCs w:val="21"/>
        </w:rPr>
        <w:t>详见第三章“评审办法”。</w:t>
      </w:r>
      <w:bookmarkEnd w:id="455"/>
    </w:p>
    <w:p w14:paraId="1E234414">
      <w:pPr>
        <w:tabs>
          <w:tab w:val="left" w:pos="1050"/>
          <w:tab w:val="left" w:pos="1470"/>
        </w:tabs>
        <w:adjustRightInd w:val="0"/>
        <w:snapToGrid w:val="0"/>
        <w:spacing w:line="400" w:lineRule="exact"/>
        <w:ind w:firstLine="420" w:firstLineChars="200"/>
        <w:rPr>
          <w:rFonts w:hint="eastAsia" w:ascii="宋体" w:hAnsi="宋体" w:cs="Arial"/>
          <w:szCs w:val="21"/>
        </w:rPr>
      </w:pPr>
      <w:r>
        <w:rPr>
          <w:rFonts w:ascii="宋体" w:hAnsi="宋体" w:cs="Arial"/>
          <w:szCs w:val="21"/>
        </w:rPr>
        <w:t>19.5</w:t>
      </w:r>
      <w:r>
        <w:rPr>
          <w:rFonts w:hint="eastAsia" w:ascii="宋体" w:hAnsi="宋体" w:cs="Arial"/>
          <w:szCs w:val="21"/>
        </w:rPr>
        <w:t>评审委员会对响应文件的评审，只依据响应文件内容本身，不依据比选后的任何外来证明。</w:t>
      </w:r>
    </w:p>
    <w:p w14:paraId="49F786F6">
      <w:pPr>
        <w:tabs>
          <w:tab w:val="left" w:pos="1050"/>
          <w:tab w:val="left" w:pos="1470"/>
        </w:tabs>
        <w:adjustRightInd w:val="0"/>
        <w:snapToGrid w:val="0"/>
        <w:spacing w:line="400" w:lineRule="exact"/>
        <w:ind w:firstLine="420" w:firstLineChars="200"/>
        <w:rPr>
          <w:rFonts w:hint="eastAsia" w:ascii="宋体" w:hAnsi="宋体" w:cs="Arial"/>
          <w:szCs w:val="21"/>
        </w:rPr>
      </w:pPr>
      <w:r>
        <w:rPr>
          <w:rFonts w:ascii="宋体" w:hAnsi="宋体" w:cs="Arial"/>
          <w:szCs w:val="21"/>
        </w:rPr>
        <w:t>19.6</w:t>
      </w:r>
      <w:r>
        <w:rPr>
          <w:rFonts w:hint="eastAsia" w:ascii="宋体" w:hAnsi="宋体" w:cs="Arial"/>
          <w:szCs w:val="21"/>
        </w:rPr>
        <w:t>评审委员会按照本比选文件“评审”中规定的方法、评审因素、标准和程序对响应文件进行评审。比选文件“评审”中没有规定的方法、评审因素和标准，不作为评审依据。</w:t>
      </w:r>
    </w:p>
    <w:p w14:paraId="38016116">
      <w:pPr>
        <w:pStyle w:val="472"/>
        <w:widowControl/>
        <w:adjustRightInd w:val="0"/>
        <w:snapToGrid w:val="0"/>
        <w:spacing w:afterLines="0" w:line="440" w:lineRule="atLeast"/>
        <w:ind w:left="0" w:firstLine="0"/>
        <w:jc w:val="left"/>
        <w:outlineLvl w:val="1"/>
        <w:rPr>
          <w:rFonts w:hint="eastAsia" w:ascii="宋体" w:hAnsi="宋体"/>
          <w:b/>
        </w:rPr>
      </w:pPr>
      <w:bookmarkStart w:id="456" w:name="_Toc141675396"/>
      <w:bookmarkStart w:id="457" w:name="_Toc322958557"/>
      <w:bookmarkStart w:id="458" w:name="_Toc428969057"/>
      <w:bookmarkStart w:id="459" w:name="_Toc348800123"/>
      <w:bookmarkStart w:id="460" w:name="_Toc406763748"/>
      <w:bookmarkStart w:id="461" w:name="_Toc325711645"/>
      <w:bookmarkStart w:id="462" w:name="_Toc400720562"/>
      <w:bookmarkStart w:id="463" w:name="_Toc29598"/>
      <w:bookmarkStart w:id="464" w:name="_Toc325622545"/>
      <w:bookmarkStart w:id="465" w:name="_Toc345343658"/>
      <w:bookmarkStart w:id="466" w:name="_Toc16777"/>
      <w:bookmarkStart w:id="467" w:name="_Toc352157826"/>
      <w:bookmarkStart w:id="468" w:name="_Toc4953"/>
      <w:bookmarkStart w:id="469" w:name="_Toc346207087"/>
      <w:bookmarkStart w:id="470" w:name="_Toc324413087"/>
      <w:bookmarkStart w:id="471" w:name="_Toc345927382"/>
      <w:bookmarkStart w:id="472" w:name="_Toc411258093"/>
      <w:bookmarkStart w:id="473" w:name="_Toc513039471"/>
      <w:bookmarkStart w:id="474" w:name="_Toc19804"/>
      <w:r>
        <w:rPr>
          <w:rFonts w:ascii="宋体" w:hAnsi="宋体"/>
          <w:b/>
        </w:rPr>
        <w:t>20.</w:t>
      </w:r>
      <w:bookmarkEnd w:id="456"/>
      <w:r>
        <w:rPr>
          <w:rFonts w:hint="eastAsia" w:ascii="宋体" w:hAnsi="宋体"/>
          <w:b/>
        </w:rPr>
        <w:t>评审程序</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p>
    <w:p w14:paraId="27F65B0A">
      <w:pPr>
        <w:tabs>
          <w:tab w:val="left" w:pos="1050"/>
          <w:tab w:val="left" w:pos="1470"/>
        </w:tabs>
        <w:adjustRightInd w:val="0"/>
        <w:snapToGrid w:val="0"/>
        <w:spacing w:line="400" w:lineRule="exact"/>
        <w:ind w:firstLine="420" w:firstLineChars="200"/>
        <w:rPr>
          <w:rFonts w:hint="eastAsia" w:ascii="宋体" w:hAnsi="宋体" w:cs="Arial"/>
          <w:szCs w:val="21"/>
        </w:rPr>
      </w:pPr>
      <w:r>
        <w:rPr>
          <w:rFonts w:ascii="宋体" w:hAnsi="宋体" w:cs="Arial"/>
          <w:szCs w:val="21"/>
        </w:rPr>
        <w:t>20.1</w:t>
      </w:r>
      <w:r>
        <w:rPr>
          <w:rFonts w:hint="eastAsia" w:ascii="宋体" w:hAnsi="宋体" w:cs="Arial"/>
          <w:szCs w:val="21"/>
        </w:rPr>
        <w:t>初步评审</w:t>
      </w:r>
    </w:p>
    <w:p w14:paraId="310F6480">
      <w:pPr>
        <w:tabs>
          <w:tab w:val="left" w:pos="1050"/>
          <w:tab w:val="left" w:pos="1470"/>
        </w:tabs>
        <w:adjustRightInd w:val="0"/>
        <w:snapToGrid w:val="0"/>
        <w:spacing w:line="400" w:lineRule="exact"/>
        <w:ind w:firstLine="420" w:firstLineChars="200"/>
        <w:rPr>
          <w:rFonts w:hint="eastAsia" w:ascii="宋体" w:hAnsi="宋体" w:cs="Arial"/>
          <w:szCs w:val="21"/>
        </w:rPr>
      </w:pPr>
      <w:r>
        <w:rPr>
          <w:rFonts w:hint="eastAsia" w:ascii="宋体" w:hAnsi="宋体" w:cs="Arial"/>
          <w:szCs w:val="21"/>
        </w:rPr>
        <w:t>详见第三章“评审办法”。</w:t>
      </w:r>
    </w:p>
    <w:p w14:paraId="368F627C">
      <w:pPr>
        <w:tabs>
          <w:tab w:val="left" w:pos="1050"/>
          <w:tab w:val="left" w:pos="1470"/>
        </w:tabs>
        <w:adjustRightInd w:val="0"/>
        <w:snapToGrid w:val="0"/>
        <w:spacing w:line="400" w:lineRule="exact"/>
        <w:ind w:firstLine="420" w:firstLineChars="200"/>
        <w:rPr>
          <w:rFonts w:hint="eastAsia" w:ascii="宋体" w:hAnsi="宋体" w:cs="Arial"/>
          <w:szCs w:val="21"/>
        </w:rPr>
      </w:pPr>
      <w:r>
        <w:rPr>
          <w:rFonts w:ascii="宋体" w:hAnsi="宋体" w:cs="Arial"/>
          <w:szCs w:val="21"/>
        </w:rPr>
        <w:t>20.2</w:t>
      </w:r>
      <w:r>
        <w:rPr>
          <w:rFonts w:hint="eastAsia" w:ascii="宋体" w:hAnsi="宋体" w:cs="Arial"/>
          <w:szCs w:val="21"/>
        </w:rPr>
        <w:t>详细评审：详见第三章“评审办法”。</w:t>
      </w:r>
    </w:p>
    <w:p w14:paraId="35C1FCAC">
      <w:pPr>
        <w:tabs>
          <w:tab w:val="left" w:pos="1050"/>
          <w:tab w:val="left" w:pos="1470"/>
        </w:tabs>
        <w:adjustRightInd w:val="0"/>
        <w:snapToGrid w:val="0"/>
        <w:spacing w:line="400" w:lineRule="exact"/>
        <w:ind w:firstLine="315" w:firstLineChars="150"/>
        <w:rPr>
          <w:rFonts w:hint="eastAsia" w:ascii="宋体" w:hAnsi="宋体" w:cs="Arial"/>
          <w:szCs w:val="21"/>
        </w:rPr>
      </w:pPr>
      <w:r>
        <w:rPr>
          <w:rFonts w:ascii="宋体" w:hAnsi="宋体" w:cs="Arial"/>
          <w:szCs w:val="21"/>
        </w:rPr>
        <w:t xml:space="preserve"> 20.3</w:t>
      </w:r>
      <w:r>
        <w:rPr>
          <w:rFonts w:hint="eastAsia" w:ascii="宋体" w:hAnsi="宋体" w:cs="Arial"/>
          <w:szCs w:val="21"/>
        </w:rPr>
        <w:t>评审结果</w:t>
      </w:r>
    </w:p>
    <w:p w14:paraId="6E073337">
      <w:pPr>
        <w:tabs>
          <w:tab w:val="left" w:pos="1050"/>
          <w:tab w:val="left" w:pos="1470"/>
        </w:tabs>
        <w:adjustRightInd w:val="0"/>
        <w:snapToGrid w:val="0"/>
        <w:spacing w:line="400" w:lineRule="exact"/>
        <w:ind w:firstLine="420" w:firstLineChars="200"/>
        <w:rPr>
          <w:rFonts w:hint="eastAsia" w:ascii="宋体" w:hAnsi="宋体" w:cs="Arial"/>
          <w:szCs w:val="21"/>
        </w:rPr>
      </w:pPr>
      <w:r>
        <w:rPr>
          <w:rFonts w:hint="eastAsia" w:ascii="宋体" w:hAnsi="宋体" w:cs="Arial"/>
          <w:szCs w:val="21"/>
        </w:rPr>
        <w:t>详见第三章“评审办法”。</w:t>
      </w:r>
    </w:p>
    <w:p w14:paraId="2544B1EE">
      <w:pPr>
        <w:pStyle w:val="472"/>
        <w:widowControl/>
        <w:adjustRightInd w:val="0"/>
        <w:snapToGrid w:val="0"/>
        <w:spacing w:afterLines="0" w:line="440" w:lineRule="atLeast"/>
        <w:ind w:left="0" w:firstLine="0"/>
        <w:jc w:val="left"/>
        <w:outlineLvl w:val="1"/>
        <w:rPr>
          <w:rFonts w:hint="eastAsia" w:ascii="宋体" w:hAnsi="宋体"/>
          <w:b/>
        </w:rPr>
      </w:pPr>
      <w:bookmarkStart w:id="475" w:name="_Toc141675397"/>
      <w:bookmarkStart w:id="476" w:name="_Toc325622546"/>
      <w:bookmarkStart w:id="477" w:name="_Toc2078"/>
      <w:bookmarkStart w:id="478" w:name="_Toc345343659"/>
      <w:bookmarkStart w:id="479" w:name="_Toc513039472"/>
      <w:bookmarkStart w:id="480" w:name="_Toc12271"/>
      <w:bookmarkStart w:id="481" w:name="_Toc352157827"/>
      <w:bookmarkStart w:id="482" w:name="_Toc324413088"/>
      <w:bookmarkStart w:id="483" w:name="_Toc428969058"/>
      <w:bookmarkStart w:id="484" w:name="_Toc345927383"/>
      <w:bookmarkStart w:id="485" w:name="_Toc325711646"/>
      <w:bookmarkStart w:id="486" w:name="_Toc16163"/>
      <w:bookmarkStart w:id="487" w:name="_Toc322958558"/>
      <w:bookmarkStart w:id="488" w:name="_Toc5169"/>
      <w:bookmarkStart w:id="489" w:name="_Toc400720563"/>
      <w:bookmarkStart w:id="490" w:name="_Toc406763749"/>
      <w:bookmarkStart w:id="491" w:name="_Toc411258094"/>
      <w:bookmarkStart w:id="492" w:name="_Toc348800124"/>
      <w:bookmarkStart w:id="493" w:name="_Toc346207088"/>
      <w:r>
        <w:rPr>
          <w:rFonts w:ascii="宋体" w:hAnsi="宋体"/>
          <w:b/>
        </w:rPr>
        <w:t>21.</w:t>
      </w:r>
      <w:bookmarkEnd w:id="475"/>
      <w:r>
        <w:rPr>
          <w:rFonts w:hint="eastAsia" w:ascii="宋体" w:hAnsi="宋体"/>
          <w:b/>
        </w:rPr>
        <w:t>响应文件的澄清</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576AAF22">
      <w:pPr>
        <w:tabs>
          <w:tab w:val="left" w:pos="1050"/>
          <w:tab w:val="left" w:pos="1470"/>
        </w:tabs>
        <w:adjustRightInd w:val="0"/>
        <w:snapToGrid w:val="0"/>
        <w:spacing w:line="400" w:lineRule="exact"/>
        <w:ind w:firstLine="420" w:firstLineChars="200"/>
        <w:rPr>
          <w:rFonts w:hint="eastAsia" w:ascii="宋体" w:hAnsi="宋体" w:cs="Arial"/>
          <w:szCs w:val="21"/>
        </w:rPr>
      </w:pPr>
      <w:r>
        <w:rPr>
          <w:rFonts w:hint="eastAsia" w:ascii="宋体" w:hAnsi="宋体" w:cs="Arial"/>
          <w:szCs w:val="21"/>
        </w:rPr>
        <w:t>21.1 在评审过程中，评审委员会可以书面形式要求比选供应商对所提交响应文件中含义不明确、对同类问题表述不一致或者有明显文字和计算错误的内容作必要的澄清、说明或补正。澄清、说明或补正应以书面方式进行。评审委员会不接受比选供应商主动提出的澄清、说明或补正。</w:t>
      </w:r>
    </w:p>
    <w:p w14:paraId="32CD839E">
      <w:pPr>
        <w:tabs>
          <w:tab w:val="left" w:pos="1050"/>
          <w:tab w:val="left" w:pos="1470"/>
        </w:tabs>
        <w:adjustRightInd w:val="0"/>
        <w:snapToGrid w:val="0"/>
        <w:spacing w:line="400" w:lineRule="exact"/>
        <w:ind w:firstLine="420" w:firstLineChars="200"/>
        <w:rPr>
          <w:rFonts w:hint="eastAsia" w:ascii="宋体" w:hAnsi="宋体" w:cs="Arial"/>
          <w:szCs w:val="21"/>
        </w:rPr>
      </w:pPr>
      <w:r>
        <w:rPr>
          <w:rFonts w:hint="eastAsia" w:ascii="宋体" w:hAnsi="宋体" w:cs="Arial"/>
          <w:szCs w:val="21"/>
        </w:rPr>
        <w:t>21.2 澄清、说明和补正不得改变响应文件的实质性内容（算术性错误修正的除外）。比选供应商的书面澄清、说明和补正属于响应文件的组成部分。</w:t>
      </w:r>
    </w:p>
    <w:p w14:paraId="113F1D31">
      <w:pPr>
        <w:tabs>
          <w:tab w:val="left" w:pos="1050"/>
          <w:tab w:val="left" w:pos="1470"/>
        </w:tabs>
        <w:adjustRightInd w:val="0"/>
        <w:snapToGrid w:val="0"/>
        <w:spacing w:line="400" w:lineRule="exact"/>
        <w:ind w:firstLine="420" w:firstLineChars="200"/>
        <w:rPr>
          <w:rFonts w:hint="eastAsia" w:ascii="宋体" w:hAnsi="宋体" w:cs="Arial"/>
          <w:szCs w:val="21"/>
        </w:rPr>
      </w:pPr>
      <w:r>
        <w:rPr>
          <w:rFonts w:hint="eastAsia" w:ascii="宋体" w:hAnsi="宋体" w:cs="Arial"/>
          <w:szCs w:val="21"/>
        </w:rPr>
        <w:t>21.3 评审委员会对比选供应商提交的澄清、说明或补正有疑问的，可以要求比选供应商进一步澄清、说明或补正，直至满足评审委员会的要求。</w:t>
      </w:r>
    </w:p>
    <w:p w14:paraId="3D4F9DA5">
      <w:pPr>
        <w:pStyle w:val="472"/>
        <w:widowControl/>
        <w:adjustRightInd w:val="0"/>
        <w:snapToGrid w:val="0"/>
        <w:spacing w:afterLines="0" w:line="440" w:lineRule="atLeast"/>
        <w:ind w:left="0" w:firstLine="0"/>
        <w:jc w:val="left"/>
        <w:outlineLvl w:val="1"/>
        <w:rPr>
          <w:rFonts w:hint="eastAsia" w:ascii="宋体" w:hAnsi="宋体"/>
          <w:b/>
        </w:rPr>
      </w:pPr>
      <w:bookmarkStart w:id="494" w:name="_Toc23664"/>
      <w:bookmarkStart w:id="495" w:name="_Toc325711647"/>
      <w:bookmarkStart w:id="496" w:name="_Toc346207089"/>
      <w:bookmarkStart w:id="497" w:name="_Toc322958559"/>
      <w:bookmarkStart w:id="498" w:name="_Toc1402"/>
      <w:bookmarkStart w:id="499" w:name="_Toc428969059"/>
      <w:bookmarkStart w:id="500" w:name="_Toc141675398"/>
      <w:bookmarkStart w:id="501" w:name="_Toc325622547"/>
      <w:bookmarkStart w:id="502" w:name="_Toc406763750"/>
      <w:bookmarkStart w:id="503" w:name="_Toc513039473"/>
      <w:bookmarkStart w:id="504" w:name="_Toc411258095"/>
      <w:bookmarkStart w:id="505" w:name="_Toc345927384"/>
      <w:bookmarkStart w:id="506" w:name="_Toc23262"/>
      <w:bookmarkStart w:id="507" w:name="_Toc345343660"/>
      <w:bookmarkStart w:id="508" w:name="_Toc400720564"/>
      <w:bookmarkStart w:id="509" w:name="_Toc348800125"/>
      <w:bookmarkStart w:id="510" w:name="_Toc6598"/>
      <w:bookmarkStart w:id="511" w:name="_Toc324413089"/>
      <w:bookmarkStart w:id="512" w:name="_Toc352157828"/>
      <w:r>
        <w:rPr>
          <w:rFonts w:ascii="宋体" w:hAnsi="宋体"/>
          <w:b/>
        </w:rPr>
        <w:t>22.</w:t>
      </w:r>
      <w:r>
        <w:rPr>
          <w:rFonts w:hint="eastAsia" w:ascii="宋体" w:hAnsi="宋体"/>
          <w:b/>
        </w:rPr>
        <w:t>比选过程保密</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p w14:paraId="325F894D">
      <w:pPr>
        <w:tabs>
          <w:tab w:val="left" w:pos="1050"/>
          <w:tab w:val="left" w:pos="1470"/>
        </w:tabs>
        <w:adjustRightInd w:val="0"/>
        <w:snapToGrid w:val="0"/>
        <w:spacing w:line="400" w:lineRule="exact"/>
        <w:ind w:firstLine="420" w:firstLineChars="200"/>
        <w:rPr>
          <w:rFonts w:hint="eastAsia" w:ascii="宋体" w:hAnsi="宋体" w:cs="Arial"/>
          <w:szCs w:val="21"/>
        </w:rPr>
      </w:pPr>
      <w:r>
        <w:rPr>
          <w:rFonts w:ascii="宋体" w:hAnsi="宋体" w:cs="Arial"/>
          <w:szCs w:val="21"/>
        </w:rPr>
        <w:t>22.1</w:t>
      </w:r>
      <w:r>
        <w:rPr>
          <w:rFonts w:hint="eastAsia" w:ascii="宋体" w:hAnsi="宋体" w:cs="Arial"/>
          <w:szCs w:val="21"/>
        </w:rPr>
        <w:t>比选人不得向他人透露已获取比选文件的潜在的比选供应商的名称、数量以及可能影响公平竞争的有关比选的其他情况。</w:t>
      </w:r>
    </w:p>
    <w:p w14:paraId="162317F5">
      <w:pPr>
        <w:tabs>
          <w:tab w:val="left" w:pos="1050"/>
          <w:tab w:val="left" w:pos="1470"/>
        </w:tabs>
        <w:adjustRightInd w:val="0"/>
        <w:snapToGrid w:val="0"/>
        <w:spacing w:line="400" w:lineRule="exact"/>
        <w:ind w:firstLine="420" w:firstLineChars="200"/>
        <w:rPr>
          <w:rFonts w:hint="eastAsia" w:ascii="宋体" w:hAnsi="宋体" w:cs="Arial"/>
          <w:szCs w:val="21"/>
        </w:rPr>
      </w:pPr>
      <w:r>
        <w:rPr>
          <w:rFonts w:ascii="宋体" w:hAnsi="宋体" w:cs="Arial"/>
          <w:szCs w:val="21"/>
        </w:rPr>
        <w:t>22.2</w:t>
      </w:r>
      <w:r>
        <w:rPr>
          <w:rFonts w:hint="eastAsia" w:ascii="宋体" w:hAnsi="宋体" w:cs="Arial"/>
          <w:szCs w:val="21"/>
        </w:rPr>
        <w:t>比选之后，直到授予中选人合同止，凡是属于审查、澄清、评价和比较比选的有关资料以及授标意向等，均不得向比选供应商或其他无关的人员透露。</w:t>
      </w:r>
    </w:p>
    <w:p w14:paraId="5B5AC255">
      <w:pPr>
        <w:tabs>
          <w:tab w:val="left" w:pos="1050"/>
          <w:tab w:val="left" w:pos="1470"/>
        </w:tabs>
        <w:adjustRightInd w:val="0"/>
        <w:snapToGrid w:val="0"/>
        <w:spacing w:line="400" w:lineRule="exact"/>
        <w:ind w:firstLine="420" w:firstLineChars="200"/>
        <w:rPr>
          <w:rFonts w:hint="eastAsia" w:ascii="宋体" w:hAnsi="宋体" w:cs="Arial"/>
          <w:szCs w:val="21"/>
        </w:rPr>
      </w:pPr>
      <w:r>
        <w:rPr>
          <w:rFonts w:ascii="宋体" w:hAnsi="宋体" w:cs="Arial"/>
          <w:szCs w:val="21"/>
        </w:rPr>
        <w:t>22.3</w:t>
      </w:r>
      <w:r>
        <w:rPr>
          <w:rFonts w:hint="eastAsia" w:ascii="宋体" w:hAnsi="宋体" w:cs="Arial"/>
          <w:szCs w:val="21"/>
        </w:rPr>
        <w:t>在评审期间，比选供应商企图影响比选人的任何活动，将导致其比选被拒绝，并承担相应的法律责任。</w:t>
      </w:r>
    </w:p>
    <w:p w14:paraId="43DE16CA">
      <w:pPr>
        <w:tabs>
          <w:tab w:val="left" w:pos="1050"/>
          <w:tab w:val="left" w:pos="1470"/>
        </w:tabs>
        <w:adjustRightInd w:val="0"/>
        <w:snapToGrid w:val="0"/>
        <w:spacing w:line="400" w:lineRule="exact"/>
        <w:ind w:firstLine="420" w:firstLineChars="200"/>
        <w:rPr>
          <w:rFonts w:hint="eastAsia" w:ascii="宋体" w:hAnsi="宋体" w:cs="Arial"/>
          <w:szCs w:val="21"/>
        </w:rPr>
      </w:pPr>
      <w:r>
        <w:rPr>
          <w:rFonts w:ascii="宋体" w:hAnsi="宋体" w:cs="Arial"/>
          <w:szCs w:val="21"/>
        </w:rPr>
        <w:t>22.4</w:t>
      </w:r>
      <w:r>
        <w:rPr>
          <w:rFonts w:hint="eastAsia" w:ascii="宋体" w:hAnsi="宋体" w:cs="Arial"/>
          <w:szCs w:val="21"/>
        </w:rPr>
        <w:t>评审委员会成员名单和评审现场对比选供应商保密。</w:t>
      </w:r>
    </w:p>
    <w:p w14:paraId="3A1D0A0A">
      <w:pPr>
        <w:spacing w:line="400" w:lineRule="exact"/>
        <w:jc w:val="center"/>
        <w:rPr>
          <w:rFonts w:hint="eastAsia" w:ascii="宋体" w:hAnsi="宋体"/>
          <w:b/>
        </w:rPr>
      </w:pPr>
      <w:bookmarkStart w:id="513" w:name="_Toc348800126"/>
      <w:bookmarkStart w:id="514" w:name="_Toc400720565"/>
      <w:bookmarkStart w:id="515" w:name="_Toc345343661"/>
      <w:bookmarkStart w:id="516" w:name="_Toc141675399"/>
      <w:bookmarkStart w:id="517" w:name="_Toc411258096"/>
      <w:bookmarkStart w:id="518" w:name="_Toc406763751"/>
      <w:bookmarkStart w:id="519" w:name="_Toc352157829"/>
      <w:bookmarkStart w:id="520" w:name="_Toc324413090"/>
      <w:bookmarkStart w:id="521" w:name="_Toc325711648"/>
      <w:bookmarkStart w:id="522" w:name="_Toc346207090"/>
      <w:bookmarkStart w:id="523" w:name="_Toc428969060"/>
      <w:bookmarkStart w:id="524" w:name="_Toc513039474"/>
      <w:bookmarkStart w:id="525" w:name="_Toc325622548"/>
      <w:bookmarkStart w:id="526" w:name="_Toc322958560"/>
      <w:bookmarkStart w:id="527" w:name="_Toc345927385"/>
      <w:r>
        <w:rPr>
          <w:rFonts w:ascii="宋体" w:hAnsi="宋体"/>
          <w:b/>
        </w:rPr>
        <w:t>F</w:t>
      </w:r>
      <w:r>
        <w:rPr>
          <w:rFonts w:hint="eastAsia" w:ascii="宋体" w:hAnsi="宋体"/>
          <w:b/>
        </w:rPr>
        <w:t>授予合同</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14:paraId="0717067D">
      <w:pPr>
        <w:pStyle w:val="472"/>
        <w:widowControl/>
        <w:adjustRightInd w:val="0"/>
        <w:snapToGrid w:val="0"/>
        <w:spacing w:afterLines="0" w:line="440" w:lineRule="atLeast"/>
        <w:ind w:left="0" w:firstLine="0"/>
        <w:jc w:val="left"/>
        <w:outlineLvl w:val="1"/>
        <w:rPr>
          <w:rFonts w:hint="eastAsia" w:ascii="宋体" w:hAnsi="宋体"/>
          <w:b/>
        </w:rPr>
      </w:pPr>
      <w:bookmarkStart w:id="528" w:name="_Toc428969061"/>
      <w:bookmarkStart w:id="529" w:name="_Toc352157830"/>
      <w:bookmarkStart w:id="530" w:name="_Toc12587"/>
      <w:bookmarkStart w:id="531" w:name="_Toc141675403"/>
      <w:bookmarkStart w:id="532" w:name="_Toc23535"/>
      <w:bookmarkStart w:id="533" w:name="_Toc348800127"/>
      <w:bookmarkStart w:id="534" w:name="_Toc345927386"/>
      <w:bookmarkStart w:id="535" w:name="_Toc21372"/>
      <w:bookmarkStart w:id="536" w:name="_Toc411258097"/>
      <w:bookmarkStart w:id="537" w:name="_Toc400720566"/>
      <w:bookmarkStart w:id="538" w:name="_Toc322958564"/>
      <w:bookmarkStart w:id="539" w:name="_Toc406763752"/>
      <w:bookmarkStart w:id="540" w:name="_Toc325711652"/>
      <w:bookmarkStart w:id="541" w:name="_Toc345343662"/>
      <w:bookmarkStart w:id="542" w:name="_Toc513039475"/>
      <w:bookmarkStart w:id="543" w:name="_Toc324413094"/>
      <w:bookmarkStart w:id="544" w:name="_Toc346207091"/>
      <w:bookmarkStart w:id="545" w:name="_Toc27710"/>
      <w:r>
        <w:rPr>
          <w:rFonts w:ascii="宋体" w:hAnsi="宋体"/>
          <w:b/>
        </w:rPr>
        <w:t>23.</w:t>
      </w:r>
      <w:r>
        <w:rPr>
          <w:rFonts w:hint="eastAsia" w:ascii="宋体" w:hAnsi="宋体"/>
          <w:b/>
        </w:rPr>
        <w:t>中标通知书</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p>
    <w:p w14:paraId="1960AF9F">
      <w:pPr>
        <w:tabs>
          <w:tab w:val="left" w:pos="1050"/>
          <w:tab w:val="left" w:pos="1470"/>
        </w:tabs>
        <w:adjustRightInd w:val="0"/>
        <w:snapToGrid w:val="0"/>
        <w:spacing w:line="400" w:lineRule="exact"/>
        <w:ind w:firstLine="420" w:firstLineChars="200"/>
        <w:rPr>
          <w:rFonts w:hint="eastAsia" w:ascii="宋体" w:hAnsi="宋体" w:cs="Arial"/>
          <w:szCs w:val="21"/>
        </w:rPr>
      </w:pPr>
      <w:bookmarkStart w:id="546" w:name="_Hlk160750963"/>
      <w:r>
        <w:rPr>
          <w:rFonts w:hint="eastAsia" w:ascii="宋体" w:hAnsi="宋体" w:cs="Arial"/>
          <w:szCs w:val="21"/>
        </w:rPr>
        <w:t>23.1推荐中选候选人：详见比选供应商须知前附表。</w:t>
      </w:r>
    </w:p>
    <w:p w14:paraId="2D3E21CF">
      <w:pPr>
        <w:tabs>
          <w:tab w:val="left" w:pos="1050"/>
          <w:tab w:val="left" w:pos="1470"/>
        </w:tabs>
        <w:adjustRightInd w:val="0"/>
        <w:snapToGrid w:val="0"/>
        <w:spacing w:line="400" w:lineRule="exact"/>
        <w:ind w:firstLine="420" w:firstLineChars="200"/>
        <w:rPr>
          <w:rFonts w:hint="eastAsia" w:ascii="宋体" w:hAnsi="宋体" w:cs="Arial"/>
          <w:szCs w:val="21"/>
        </w:rPr>
      </w:pPr>
      <w:r>
        <w:rPr>
          <w:rFonts w:ascii="宋体" w:hAnsi="宋体" w:cs="Arial"/>
          <w:szCs w:val="21"/>
        </w:rPr>
        <w:t>23.</w:t>
      </w:r>
      <w:r>
        <w:rPr>
          <w:rFonts w:hint="eastAsia" w:ascii="宋体" w:hAnsi="宋体" w:cs="Arial"/>
          <w:szCs w:val="21"/>
        </w:rPr>
        <w:t>2评标结果公示：详见比选供应商须知前附表。</w:t>
      </w:r>
    </w:p>
    <w:p w14:paraId="43A3BAC5">
      <w:pPr>
        <w:tabs>
          <w:tab w:val="left" w:pos="1050"/>
          <w:tab w:val="left" w:pos="1470"/>
        </w:tabs>
        <w:adjustRightInd w:val="0"/>
        <w:snapToGrid w:val="0"/>
        <w:spacing w:line="400" w:lineRule="exact"/>
        <w:ind w:firstLine="420" w:firstLineChars="200"/>
        <w:rPr>
          <w:rFonts w:hint="eastAsia" w:ascii="宋体" w:hAnsi="宋体" w:cs="Arial"/>
          <w:szCs w:val="21"/>
        </w:rPr>
      </w:pPr>
      <w:r>
        <w:rPr>
          <w:rFonts w:hint="eastAsia" w:ascii="宋体" w:hAnsi="宋体" w:cs="Arial"/>
          <w:szCs w:val="21"/>
        </w:rPr>
        <w:t>23.3确定中选人：详见比选供应商须知前附表。</w:t>
      </w:r>
    </w:p>
    <w:bookmarkEnd w:id="546"/>
    <w:p w14:paraId="7B40F6B9">
      <w:pPr>
        <w:tabs>
          <w:tab w:val="left" w:pos="1050"/>
          <w:tab w:val="left" w:pos="1470"/>
        </w:tabs>
        <w:adjustRightInd w:val="0"/>
        <w:snapToGrid w:val="0"/>
        <w:spacing w:line="400" w:lineRule="exact"/>
        <w:ind w:firstLine="420" w:firstLineChars="200"/>
        <w:rPr>
          <w:rFonts w:hint="eastAsia" w:ascii="宋体" w:hAnsi="宋体" w:cs="Arial"/>
          <w:szCs w:val="21"/>
        </w:rPr>
      </w:pPr>
      <w:r>
        <w:rPr>
          <w:rFonts w:ascii="宋体" w:hAnsi="宋体" w:cs="Arial"/>
          <w:szCs w:val="21"/>
        </w:rPr>
        <w:t>23.4</w:t>
      </w:r>
      <w:r>
        <w:rPr>
          <w:rFonts w:hint="eastAsia" w:ascii="宋体" w:hAnsi="宋体" w:cs="Arial"/>
          <w:szCs w:val="21"/>
        </w:rPr>
        <w:t>中选候选人的经营、财务状况发生较大变化或者存在违法行为，比选人认为可能影响其履约能力的，应当在发出中选通知书前由原评审委员会按照比选文件规定的标准和方法审查确认。</w:t>
      </w:r>
    </w:p>
    <w:p w14:paraId="06460B46">
      <w:pPr>
        <w:tabs>
          <w:tab w:val="left" w:pos="1050"/>
          <w:tab w:val="left" w:pos="1470"/>
        </w:tabs>
        <w:adjustRightInd w:val="0"/>
        <w:snapToGrid w:val="0"/>
        <w:spacing w:line="400" w:lineRule="exact"/>
        <w:ind w:firstLine="420" w:firstLineChars="200"/>
        <w:rPr>
          <w:rFonts w:hint="eastAsia" w:ascii="宋体" w:hAnsi="宋体" w:cs="Arial"/>
          <w:szCs w:val="21"/>
        </w:rPr>
      </w:pPr>
      <w:r>
        <w:rPr>
          <w:rFonts w:ascii="宋体" w:hAnsi="宋体" w:cs="Arial"/>
          <w:szCs w:val="21"/>
        </w:rPr>
        <w:t>23.5</w:t>
      </w:r>
      <w:r>
        <w:rPr>
          <w:rFonts w:hint="eastAsia" w:ascii="宋体" w:hAnsi="宋体" w:cs="Arial"/>
          <w:szCs w:val="21"/>
        </w:rPr>
        <w:t>比选人与中选人签订合同后，应当按照前述第</w:t>
      </w:r>
      <w:r>
        <w:rPr>
          <w:rFonts w:ascii="宋体" w:hAnsi="宋体" w:cs="Arial"/>
          <w:szCs w:val="21"/>
        </w:rPr>
        <w:t>12</w:t>
      </w:r>
      <w:r>
        <w:rPr>
          <w:rFonts w:hint="eastAsia" w:ascii="宋体" w:hAnsi="宋体" w:cs="Arial"/>
          <w:szCs w:val="21"/>
        </w:rPr>
        <w:t>条相应条款规定向中选人和未中选的比选供应商一次性退还比选保证金。比选代理机构原则上对落标的比选供应商不作落标原因的解释。</w:t>
      </w:r>
    </w:p>
    <w:p w14:paraId="482B3DD8">
      <w:pPr>
        <w:pStyle w:val="472"/>
        <w:widowControl/>
        <w:adjustRightInd w:val="0"/>
        <w:snapToGrid w:val="0"/>
        <w:spacing w:afterLines="0" w:line="440" w:lineRule="atLeast"/>
        <w:ind w:left="0" w:firstLine="0"/>
        <w:jc w:val="left"/>
        <w:outlineLvl w:val="1"/>
        <w:rPr>
          <w:rFonts w:hint="eastAsia" w:ascii="宋体" w:hAnsi="宋体"/>
          <w:b/>
        </w:rPr>
      </w:pPr>
      <w:bookmarkStart w:id="547" w:name="_Toc21997"/>
      <w:bookmarkStart w:id="548" w:name="_Toc141675404"/>
      <w:bookmarkStart w:id="549" w:name="_Toc352157831"/>
      <w:bookmarkStart w:id="550" w:name="_Toc30625"/>
      <w:bookmarkStart w:id="551" w:name="_Toc345927387"/>
      <w:bookmarkStart w:id="552" w:name="_Toc428969062"/>
      <w:bookmarkStart w:id="553" w:name="_Toc348800128"/>
      <w:bookmarkStart w:id="554" w:name="_Toc513039476"/>
      <w:bookmarkStart w:id="555" w:name="_Toc346207092"/>
      <w:bookmarkStart w:id="556" w:name="_Toc322958565"/>
      <w:bookmarkStart w:id="557" w:name="_Toc324413095"/>
      <w:bookmarkStart w:id="558" w:name="_Toc406763753"/>
      <w:bookmarkStart w:id="559" w:name="_Toc400720567"/>
      <w:bookmarkStart w:id="560" w:name="_Toc411258098"/>
      <w:bookmarkStart w:id="561" w:name="_Toc325711653"/>
      <w:bookmarkStart w:id="562" w:name="_Toc345343663"/>
      <w:bookmarkStart w:id="563" w:name="_Toc1870"/>
      <w:bookmarkStart w:id="564" w:name="_Toc31928"/>
      <w:r>
        <w:rPr>
          <w:rFonts w:ascii="宋体" w:hAnsi="宋体"/>
          <w:b/>
        </w:rPr>
        <w:t>24.</w:t>
      </w:r>
      <w:r>
        <w:rPr>
          <w:rFonts w:hint="eastAsia" w:ascii="宋体" w:hAnsi="宋体"/>
          <w:b/>
        </w:rPr>
        <w:t>签订合同</w:t>
      </w:r>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14:paraId="3DF050E6">
      <w:pPr>
        <w:autoSpaceDE w:val="0"/>
        <w:autoSpaceDN w:val="0"/>
        <w:adjustRightInd w:val="0"/>
        <w:snapToGrid w:val="0"/>
        <w:spacing w:line="400" w:lineRule="exact"/>
        <w:ind w:firstLine="420"/>
      </w:pPr>
      <w:r>
        <w:rPr>
          <w:rFonts w:hint="eastAsia" w:ascii="宋体" w:hAnsi="宋体"/>
          <w:snapToGrid w:val="0"/>
          <w:kern w:val="0"/>
          <w:szCs w:val="21"/>
        </w:rPr>
        <w:t>2</w:t>
      </w:r>
      <w:r>
        <w:rPr>
          <w:rFonts w:ascii="宋体" w:hAnsi="宋体"/>
          <w:snapToGrid w:val="0"/>
          <w:kern w:val="0"/>
          <w:szCs w:val="21"/>
        </w:rPr>
        <w:t xml:space="preserve">4.1 </w:t>
      </w:r>
      <w:r>
        <w:rPr>
          <w:rFonts w:hint="eastAsia" w:ascii="宋体" w:hAnsi="宋体"/>
          <w:snapToGrid w:val="0"/>
          <w:kern w:val="0"/>
          <w:szCs w:val="21"/>
        </w:rPr>
        <w:t>比选</w:t>
      </w:r>
      <w:r>
        <w:rPr>
          <w:rFonts w:ascii="宋体" w:hAnsi="宋体"/>
          <w:snapToGrid w:val="0"/>
          <w:kern w:val="0"/>
          <w:szCs w:val="21"/>
        </w:rPr>
        <w:t>人和中</w:t>
      </w:r>
      <w:r>
        <w:rPr>
          <w:rFonts w:hint="eastAsia" w:ascii="宋体" w:hAnsi="宋体"/>
          <w:snapToGrid w:val="0"/>
          <w:kern w:val="0"/>
          <w:szCs w:val="21"/>
        </w:rPr>
        <w:t>选</w:t>
      </w:r>
      <w:r>
        <w:rPr>
          <w:rFonts w:ascii="宋体" w:hAnsi="宋体"/>
          <w:snapToGrid w:val="0"/>
          <w:kern w:val="0"/>
          <w:szCs w:val="21"/>
        </w:rPr>
        <w:t>人应当自中</w:t>
      </w:r>
      <w:r>
        <w:rPr>
          <w:rFonts w:hint="eastAsia" w:ascii="宋体" w:hAnsi="宋体"/>
          <w:snapToGrid w:val="0"/>
          <w:kern w:val="0"/>
          <w:szCs w:val="21"/>
        </w:rPr>
        <w:t>选</w:t>
      </w:r>
      <w:r>
        <w:rPr>
          <w:rFonts w:ascii="宋体" w:hAnsi="宋体"/>
          <w:snapToGrid w:val="0"/>
          <w:kern w:val="0"/>
          <w:szCs w:val="21"/>
        </w:rPr>
        <w:t>通知书发出之日起30</w:t>
      </w:r>
      <w:r>
        <w:rPr>
          <w:rFonts w:hint="eastAsia" w:ascii="宋体" w:hAnsi="宋体"/>
          <w:snapToGrid w:val="0"/>
          <w:kern w:val="0"/>
          <w:szCs w:val="21"/>
        </w:rPr>
        <w:t>日</w:t>
      </w:r>
      <w:r>
        <w:rPr>
          <w:rFonts w:ascii="宋体" w:hAnsi="宋体"/>
          <w:snapToGrid w:val="0"/>
          <w:kern w:val="0"/>
          <w:szCs w:val="21"/>
        </w:rPr>
        <w:t>内，根据</w:t>
      </w:r>
      <w:r>
        <w:rPr>
          <w:rFonts w:hint="eastAsia" w:ascii="宋体" w:hAnsi="宋体"/>
          <w:snapToGrid w:val="0"/>
          <w:kern w:val="0"/>
          <w:szCs w:val="21"/>
        </w:rPr>
        <w:t>比选</w:t>
      </w:r>
      <w:r>
        <w:rPr>
          <w:rFonts w:ascii="宋体" w:hAnsi="宋体"/>
          <w:snapToGrid w:val="0"/>
          <w:kern w:val="0"/>
          <w:szCs w:val="21"/>
        </w:rPr>
        <w:t>文件和中</w:t>
      </w:r>
      <w:r>
        <w:rPr>
          <w:rFonts w:hint="eastAsia" w:ascii="宋体" w:hAnsi="宋体"/>
          <w:snapToGrid w:val="0"/>
          <w:kern w:val="0"/>
          <w:szCs w:val="21"/>
        </w:rPr>
        <w:t>选</w:t>
      </w:r>
      <w:r>
        <w:rPr>
          <w:rFonts w:ascii="宋体" w:hAnsi="宋体"/>
          <w:snapToGrid w:val="0"/>
          <w:kern w:val="0"/>
          <w:szCs w:val="21"/>
        </w:rPr>
        <w:t>人的</w:t>
      </w:r>
      <w:r>
        <w:rPr>
          <w:rFonts w:hint="eastAsia" w:ascii="宋体" w:hAnsi="宋体"/>
          <w:snapToGrid w:val="0"/>
          <w:kern w:val="0"/>
          <w:szCs w:val="21"/>
        </w:rPr>
        <w:t>响应</w:t>
      </w:r>
      <w:r>
        <w:rPr>
          <w:rFonts w:ascii="宋体" w:hAnsi="宋体"/>
          <w:snapToGrid w:val="0"/>
          <w:kern w:val="0"/>
          <w:szCs w:val="21"/>
        </w:rPr>
        <w:t>文件订立书面合同。中</w:t>
      </w:r>
      <w:r>
        <w:rPr>
          <w:rFonts w:hint="eastAsia" w:ascii="宋体" w:hAnsi="宋体"/>
          <w:snapToGrid w:val="0"/>
          <w:kern w:val="0"/>
          <w:szCs w:val="21"/>
        </w:rPr>
        <w:t>选</w:t>
      </w:r>
      <w:r>
        <w:rPr>
          <w:rFonts w:ascii="宋体" w:hAnsi="宋体"/>
          <w:snapToGrid w:val="0"/>
          <w:kern w:val="0"/>
          <w:szCs w:val="21"/>
        </w:rPr>
        <w:t>人</w:t>
      </w:r>
      <w:r>
        <w:rPr>
          <w:rFonts w:hint="eastAsia" w:ascii="宋体" w:hAnsi="宋体"/>
          <w:snapToGrid w:val="0"/>
          <w:kern w:val="0"/>
          <w:szCs w:val="21"/>
        </w:rPr>
        <w:t>放弃中选项目，</w:t>
      </w:r>
      <w:r>
        <w:rPr>
          <w:rFonts w:ascii="宋体" w:hAnsi="宋体"/>
          <w:snapToGrid w:val="0"/>
          <w:kern w:val="0"/>
          <w:szCs w:val="21"/>
        </w:rPr>
        <w:t>无正当理由</w:t>
      </w:r>
      <w:r>
        <w:rPr>
          <w:rFonts w:hint="eastAsia" w:ascii="宋体" w:hAnsi="宋体"/>
          <w:snapToGrid w:val="0"/>
          <w:kern w:val="0"/>
          <w:szCs w:val="21"/>
        </w:rPr>
        <w:t>拒签合同，在签订合同时向比选人提出附加条件</w:t>
      </w:r>
      <w:r>
        <w:rPr>
          <w:rFonts w:ascii="宋体" w:hAnsi="宋体"/>
          <w:snapToGrid w:val="0"/>
          <w:kern w:val="0"/>
          <w:szCs w:val="21"/>
        </w:rPr>
        <w:t>，</w:t>
      </w:r>
      <w:r>
        <w:rPr>
          <w:rFonts w:hint="eastAsia" w:ascii="宋体" w:hAnsi="宋体" w:cs="宋体"/>
          <w:szCs w:val="21"/>
        </w:rPr>
        <w:t>或者不按照响应文件要求提交履约保证金的，</w:t>
      </w:r>
      <w:r>
        <w:rPr>
          <w:rFonts w:hint="eastAsia" w:ascii="宋体" w:hAnsi="宋体"/>
          <w:snapToGrid w:val="0"/>
          <w:kern w:val="0"/>
          <w:szCs w:val="21"/>
        </w:rPr>
        <w:t>比选</w:t>
      </w:r>
      <w:r>
        <w:rPr>
          <w:rFonts w:ascii="宋体" w:hAnsi="宋体"/>
          <w:snapToGrid w:val="0"/>
          <w:kern w:val="0"/>
          <w:szCs w:val="21"/>
        </w:rPr>
        <w:t>人</w:t>
      </w:r>
      <w:r>
        <w:rPr>
          <w:spacing w:val="-3"/>
        </w:rPr>
        <w:t>有权</w:t>
      </w:r>
      <w:r>
        <w:rPr>
          <w:rFonts w:ascii="宋体" w:hAnsi="宋体"/>
          <w:snapToGrid w:val="0"/>
          <w:kern w:val="0"/>
          <w:szCs w:val="21"/>
        </w:rPr>
        <w:t>取消其中</w:t>
      </w:r>
      <w:r>
        <w:rPr>
          <w:rFonts w:hint="eastAsia" w:ascii="宋体" w:hAnsi="宋体"/>
          <w:snapToGrid w:val="0"/>
          <w:kern w:val="0"/>
          <w:szCs w:val="21"/>
        </w:rPr>
        <w:t>选</w:t>
      </w:r>
      <w:r>
        <w:rPr>
          <w:rFonts w:ascii="宋体" w:hAnsi="宋体"/>
          <w:snapToGrid w:val="0"/>
          <w:kern w:val="0"/>
          <w:szCs w:val="21"/>
        </w:rPr>
        <w:t>资格，其</w:t>
      </w:r>
      <w:r>
        <w:rPr>
          <w:rFonts w:hint="eastAsia" w:ascii="宋体" w:hAnsi="宋体"/>
          <w:snapToGrid w:val="0"/>
          <w:kern w:val="0"/>
          <w:szCs w:val="21"/>
        </w:rPr>
        <w:t>比选</w:t>
      </w:r>
      <w:r>
        <w:rPr>
          <w:rFonts w:ascii="宋体" w:hAnsi="宋体"/>
          <w:snapToGrid w:val="0"/>
          <w:kern w:val="0"/>
          <w:szCs w:val="21"/>
        </w:rPr>
        <w:t>保证金不予退还</w:t>
      </w:r>
      <w:r>
        <w:rPr>
          <w:rFonts w:hint="eastAsia" w:ascii="宋体" w:hAnsi="宋体"/>
          <w:snapToGrid w:val="0"/>
          <w:kern w:val="0"/>
          <w:szCs w:val="21"/>
        </w:rPr>
        <w:t>，</w:t>
      </w:r>
      <w:r>
        <w:rPr>
          <w:rFonts w:ascii="宋体" w:hAnsi="宋体"/>
          <w:snapToGrid w:val="0"/>
          <w:kern w:val="0"/>
          <w:szCs w:val="21"/>
        </w:rPr>
        <w:t>给</w:t>
      </w:r>
      <w:r>
        <w:rPr>
          <w:rFonts w:hint="eastAsia" w:ascii="宋体" w:hAnsi="宋体"/>
          <w:snapToGrid w:val="0"/>
          <w:kern w:val="0"/>
          <w:szCs w:val="21"/>
        </w:rPr>
        <w:t>比选</w:t>
      </w:r>
      <w:r>
        <w:rPr>
          <w:rFonts w:ascii="宋体" w:hAnsi="宋体"/>
          <w:snapToGrid w:val="0"/>
          <w:kern w:val="0"/>
          <w:szCs w:val="21"/>
        </w:rPr>
        <w:t>人造成的损失超过</w:t>
      </w:r>
      <w:r>
        <w:rPr>
          <w:rFonts w:hint="eastAsia" w:ascii="宋体" w:hAnsi="宋体"/>
          <w:snapToGrid w:val="0"/>
          <w:kern w:val="0"/>
          <w:szCs w:val="21"/>
        </w:rPr>
        <w:t>比选</w:t>
      </w:r>
      <w:r>
        <w:rPr>
          <w:rFonts w:ascii="宋体" w:hAnsi="宋体"/>
          <w:snapToGrid w:val="0"/>
          <w:kern w:val="0"/>
          <w:szCs w:val="21"/>
        </w:rPr>
        <w:t>保证金数额的，中</w:t>
      </w:r>
      <w:r>
        <w:rPr>
          <w:rFonts w:hint="eastAsia" w:ascii="宋体" w:hAnsi="宋体"/>
          <w:snapToGrid w:val="0"/>
          <w:kern w:val="0"/>
          <w:szCs w:val="21"/>
        </w:rPr>
        <w:t>选</w:t>
      </w:r>
      <w:r>
        <w:rPr>
          <w:rFonts w:ascii="宋体" w:hAnsi="宋体"/>
          <w:snapToGrid w:val="0"/>
          <w:kern w:val="0"/>
          <w:szCs w:val="21"/>
        </w:rPr>
        <w:t>人还应当对超过部分予以赔偿。</w:t>
      </w:r>
    </w:p>
    <w:p w14:paraId="475C61B1">
      <w:pPr>
        <w:tabs>
          <w:tab w:val="left" w:pos="1050"/>
          <w:tab w:val="left" w:pos="1470"/>
        </w:tabs>
        <w:adjustRightInd w:val="0"/>
        <w:snapToGrid w:val="0"/>
        <w:spacing w:line="400" w:lineRule="exact"/>
        <w:ind w:firstLine="420" w:firstLineChars="200"/>
        <w:rPr>
          <w:rFonts w:hint="eastAsia" w:ascii="宋体" w:hAnsi="宋体" w:cs="Arial"/>
          <w:szCs w:val="21"/>
        </w:rPr>
      </w:pPr>
      <w:r>
        <w:rPr>
          <w:rFonts w:ascii="宋体" w:hAnsi="宋体" w:cs="Arial"/>
          <w:szCs w:val="21"/>
        </w:rPr>
        <w:t>24.</w:t>
      </w:r>
      <w:r>
        <w:rPr>
          <w:rFonts w:hint="eastAsia" w:ascii="宋体" w:hAnsi="宋体" w:cs="Arial"/>
          <w:szCs w:val="21"/>
        </w:rPr>
        <w:t>2比选文件、中选人的响应文件及评审过程中有关澄清文件均应作为合同附件。</w:t>
      </w:r>
    </w:p>
    <w:p w14:paraId="3E1CB0D9">
      <w:pPr>
        <w:tabs>
          <w:tab w:val="left" w:pos="1050"/>
          <w:tab w:val="left" w:pos="1470"/>
        </w:tabs>
        <w:spacing w:line="400" w:lineRule="exact"/>
        <w:ind w:firstLine="420"/>
        <w:rPr>
          <w:rFonts w:hint="eastAsia" w:ascii="宋体" w:hAnsi="宋体" w:cs="Arial"/>
          <w:kern w:val="1"/>
          <w:szCs w:val="21"/>
        </w:rPr>
      </w:pPr>
      <w:r>
        <w:rPr>
          <w:rFonts w:ascii="宋体" w:hAnsi="宋体" w:cs="Arial"/>
          <w:kern w:val="1"/>
          <w:szCs w:val="21"/>
        </w:rPr>
        <w:t>24.</w:t>
      </w:r>
      <w:r>
        <w:rPr>
          <w:rFonts w:hint="eastAsia" w:ascii="宋体" w:hAnsi="宋体" w:cs="Arial"/>
          <w:kern w:val="1"/>
          <w:szCs w:val="21"/>
        </w:rPr>
        <w:t>3凡中选人在响应文件中所作承诺、服务方案等，将作为合同重要条款之一，必须履行，如不能履行，将视为违约，比选人有权追究中选人承担相应违约责任。</w:t>
      </w:r>
    </w:p>
    <w:p w14:paraId="6DB93DBC">
      <w:pPr>
        <w:pStyle w:val="472"/>
        <w:widowControl/>
        <w:adjustRightInd w:val="0"/>
        <w:snapToGrid w:val="0"/>
        <w:spacing w:afterLines="0" w:line="440" w:lineRule="atLeast"/>
        <w:ind w:left="0" w:firstLine="0"/>
        <w:jc w:val="left"/>
        <w:outlineLvl w:val="1"/>
        <w:rPr>
          <w:rFonts w:hint="eastAsia" w:ascii="宋体" w:hAnsi="宋体"/>
          <w:b/>
        </w:rPr>
      </w:pPr>
      <w:bookmarkStart w:id="565" w:name="_Toc141675405"/>
      <w:bookmarkStart w:id="566" w:name="_Toc324413096"/>
      <w:bookmarkStart w:id="567" w:name="_Toc348800129"/>
      <w:bookmarkStart w:id="568" w:name="_Toc3910"/>
      <w:bookmarkStart w:id="569" w:name="_Toc21258"/>
      <w:bookmarkStart w:id="570" w:name="_Toc16485"/>
      <w:bookmarkStart w:id="571" w:name="_Toc7402"/>
      <w:bookmarkStart w:id="572" w:name="_Toc428969063"/>
      <w:bookmarkStart w:id="573" w:name="_Toc325711654"/>
      <w:bookmarkStart w:id="574" w:name="_Toc513039477"/>
      <w:bookmarkStart w:id="575" w:name="_Toc352157832"/>
      <w:bookmarkStart w:id="576" w:name="_Toc322958566"/>
      <w:bookmarkStart w:id="577" w:name="_Toc346207093"/>
      <w:bookmarkStart w:id="578" w:name="_Toc345927388"/>
      <w:bookmarkStart w:id="579" w:name="_Toc345343664"/>
      <w:bookmarkStart w:id="580" w:name="_Toc400720568"/>
      <w:bookmarkStart w:id="581" w:name="_Toc411258099"/>
      <w:bookmarkStart w:id="582" w:name="_Toc406763754"/>
      <w:r>
        <w:rPr>
          <w:rFonts w:ascii="宋体" w:hAnsi="宋体"/>
          <w:b/>
        </w:rPr>
        <w:t>25.</w:t>
      </w:r>
      <w:bookmarkEnd w:id="565"/>
      <w:r>
        <w:rPr>
          <w:rFonts w:hint="eastAsia" w:ascii="宋体" w:hAnsi="宋体"/>
          <w:b/>
        </w:rPr>
        <w:t>履约担保</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p>
    <w:p w14:paraId="76824B61">
      <w:pPr>
        <w:tabs>
          <w:tab w:val="left" w:pos="1050"/>
          <w:tab w:val="left" w:pos="1470"/>
        </w:tabs>
        <w:adjustRightInd w:val="0"/>
        <w:snapToGrid w:val="0"/>
        <w:spacing w:line="400" w:lineRule="exact"/>
        <w:ind w:firstLine="420" w:firstLineChars="200"/>
        <w:rPr>
          <w:rFonts w:hint="eastAsia" w:ascii="宋体" w:hAnsi="宋体" w:cs="Arial"/>
          <w:szCs w:val="21"/>
        </w:rPr>
      </w:pPr>
      <w:bookmarkStart w:id="583" w:name="_Toc141675406"/>
      <w:r>
        <w:rPr>
          <w:rFonts w:hint="eastAsia" w:ascii="宋体" w:hAnsi="宋体" w:cs="Arial"/>
          <w:szCs w:val="21"/>
        </w:rPr>
        <w:t>详见比选供应商须知前附表。</w:t>
      </w:r>
    </w:p>
    <w:p w14:paraId="7F92D2A1">
      <w:pPr>
        <w:pStyle w:val="472"/>
        <w:widowControl/>
        <w:adjustRightInd w:val="0"/>
        <w:snapToGrid w:val="0"/>
        <w:spacing w:afterLines="0" w:line="440" w:lineRule="atLeast"/>
        <w:ind w:left="0" w:firstLine="0"/>
        <w:jc w:val="left"/>
        <w:outlineLvl w:val="1"/>
        <w:rPr>
          <w:rFonts w:hint="eastAsia" w:ascii="宋体" w:hAnsi="宋体"/>
          <w:b/>
        </w:rPr>
      </w:pPr>
      <w:bookmarkStart w:id="584" w:name="_Toc428969064"/>
      <w:bookmarkStart w:id="585" w:name="_Toc324413097"/>
      <w:bookmarkStart w:id="586" w:name="_Toc406763755"/>
      <w:bookmarkStart w:id="587" w:name="_Toc352157833"/>
      <w:bookmarkStart w:id="588" w:name="_Toc345927389"/>
      <w:bookmarkStart w:id="589" w:name="_Toc345343665"/>
      <w:bookmarkStart w:id="590" w:name="_Toc325711655"/>
      <w:bookmarkStart w:id="591" w:name="_Toc411258100"/>
      <w:bookmarkStart w:id="592" w:name="_Toc348800130"/>
      <w:bookmarkStart w:id="593" w:name="_Toc346207094"/>
      <w:bookmarkStart w:id="594" w:name="_Toc400720569"/>
      <w:bookmarkStart w:id="595" w:name="_Toc322958567"/>
      <w:bookmarkStart w:id="596" w:name="_Toc27291"/>
      <w:bookmarkStart w:id="597" w:name="_Toc23761"/>
      <w:bookmarkStart w:id="598" w:name="_Toc3027"/>
      <w:bookmarkStart w:id="599" w:name="_Toc5209"/>
      <w:r>
        <w:rPr>
          <w:rFonts w:ascii="宋体" w:hAnsi="宋体"/>
          <w:b/>
        </w:rPr>
        <w:t>26.</w:t>
      </w:r>
      <w:r>
        <w:rPr>
          <w:rFonts w:hint="eastAsia" w:ascii="宋体" w:hAnsi="宋体"/>
          <w:b/>
        </w:rPr>
        <w:t>重新比选</w:t>
      </w:r>
      <w:bookmarkEnd w:id="584"/>
      <w:bookmarkEnd w:id="585"/>
      <w:bookmarkEnd w:id="586"/>
      <w:bookmarkEnd w:id="587"/>
      <w:bookmarkEnd w:id="588"/>
      <w:bookmarkEnd w:id="589"/>
      <w:bookmarkEnd w:id="590"/>
      <w:bookmarkEnd w:id="591"/>
      <w:bookmarkEnd w:id="592"/>
      <w:bookmarkEnd w:id="593"/>
      <w:bookmarkEnd w:id="594"/>
      <w:bookmarkEnd w:id="595"/>
      <w:r>
        <w:rPr>
          <w:rFonts w:hint="eastAsia" w:ascii="宋体" w:hAnsi="宋体"/>
          <w:b/>
        </w:rPr>
        <w:t>和取消中</w:t>
      </w:r>
      <w:bookmarkEnd w:id="596"/>
      <w:bookmarkEnd w:id="597"/>
      <w:bookmarkEnd w:id="598"/>
      <w:r>
        <w:rPr>
          <w:rFonts w:hint="eastAsia" w:ascii="宋体" w:hAnsi="宋体"/>
          <w:b/>
        </w:rPr>
        <w:t>选</w:t>
      </w:r>
      <w:bookmarkEnd w:id="599"/>
    </w:p>
    <w:p w14:paraId="3EA75736">
      <w:pPr>
        <w:tabs>
          <w:tab w:val="left" w:pos="1050"/>
          <w:tab w:val="left" w:pos="1470"/>
        </w:tabs>
        <w:adjustRightInd w:val="0"/>
        <w:snapToGrid w:val="0"/>
        <w:spacing w:line="400" w:lineRule="exact"/>
        <w:ind w:firstLine="420" w:firstLineChars="200"/>
        <w:rPr>
          <w:rFonts w:hint="eastAsia" w:ascii="宋体" w:hAnsi="宋体" w:cs="Arial"/>
          <w:szCs w:val="21"/>
        </w:rPr>
      </w:pPr>
      <w:r>
        <w:rPr>
          <w:rFonts w:ascii="宋体" w:hAnsi="宋体" w:cs="Arial"/>
          <w:szCs w:val="21"/>
        </w:rPr>
        <w:t>26.1</w:t>
      </w:r>
      <w:r>
        <w:rPr>
          <w:rFonts w:hint="eastAsia" w:ascii="宋体" w:hAnsi="宋体" w:cs="Arial"/>
          <w:szCs w:val="21"/>
        </w:rPr>
        <w:t>重新比选</w:t>
      </w:r>
    </w:p>
    <w:p w14:paraId="34C97BAC">
      <w:pPr>
        <w:tabs>
          <w:tab w:val="left" w:pos="1050"/>
          <w:tab w:val="left" w:pos="1470"/>
        </w:tabs>
        <w:adjustRightInd w:val="0"/>
        <w:snapToGrid w:val="0"/>
        <w:spacing w:line="400" w:lineRule="exact"/>
        <w:ind w:firstLine="420" w:firstLineChars="200"/>
        <w:rPr>
          <w:rFonts w:hint="eastAsia" w:ascii="宋体" w:hAnsi="宋体" w:cs="Arial"/>
          <w:szCs w:val="21"/>
        </w:rPr>
      </w:pPr>
      <w:r>
        <w:rPr>
          <w:rFonts w:hint="eastAsia" w:ascii="宋体" w:hAnsi="宋体" w:cs="Arial"/>
          <w:szCs w:val="21"/>
        </w:rPr>
        <w:t>有下列情况之一的，比选人应重新比选：</w:t>
      </w:r>
    </w:p>
    <w:p w14:paraId="309A5325">
      <w:pPr>
        <w:tabs>
          <w:tab w:val="left" w:pos="1050"/>
          <w:tab w:val="left" w:pos="1470"/>
        </w:tabs>
        <w:adjustRightInd w:val="0"/>
        <w:snapToGrid w:val="0"/>
        <w:spacing w:line="400" w:lineRule="exact"/>
        <w:ind w:firstLine="420" w:firstLineChars="200"/>
        <w:rPr>
          <w:rFonts w:hint="eastAsia" w:ascii="宋体" w:hAnsi="宋体" w:cs="Arial"/>
          <w:szCs w:val="21"/>
        </w:rPr>
      </w:pPr>
      <w:r>
        <w:rPr>
          <w:rFonts w:hint="eastAsia" w:ascii="宋体" w:hAnsi="宋体" w:cs="Arial"/>
          <w:szCs w:val="21"/>
        </w:rPr>
        <w:t>（</w:t>
      </w:r>
      <w:r>
        <w:rPr>
          <w:rFonts w:ascii="宋体" w:hAnsi="宋体" w:cs="Arial"/>
          <w:szCs w:val="21"/>
        </w:rPr>
        <w:t>1</w:t>
      </w:r>
      <w:r>
        <w:rPr>
          <w:rFonts w:hint="eastAsia" w:ascii="宋体" w:hAnsi="宋体" w:cs="Arial"/>
          <w:szCs w:val="21"/>
        </w:rPr>
        <w:t>）比选公告截止后或比选截止时间止，比选供应商少于</w:t>
      </w:r>
      <w:r>
        <w:rPr>
          <w:rFonts w:ascii="宋体" w:hAnsi="宋体" w:cs="Arial"/>
          <w:szCs w:val="21"/>
        </w:rPr>
        <w:t>3</w:t>
      </w:r>
      <w:r>
        <w:rPr>
          <w:rFonts w:hint="eastAsia" w:ascii="宋体" w:hAnsi="宋体" w:cs="Arial"/>
          <w:szCs w:val="21"/>
        </w:rPr>
        <w:t>个的；</w:t>
      </w:r>
    </w:p>
    <w:p w14:paraId="2B748E3B">
      <w:pPr>
        <w:tabs>
          <w:tab w:val="left" w:pos="1050"/>
          <w:tab w:val="left" w:pos="1470"/>
        </w:tabs>
        <w:adjustRightInd w:val="0"/>
        <w:snapToGrid w:val="0"/>
        <w:spacing w:line="400" w:lineRule="exact"/>
        <w:ind w:firstLine="420" w:firstLineChars="200"/>
        <w:rPr>
          <w:rFonts w:hint="eastAsia" w:ascii="宋体" w:hAnsi="宋体" w:cs="Arial"/>
          <w:szCs w:val="21"/>
        </w:rPr>
      </w:pPr>
      <w:r>
        <w:rPr>
          <w:rFonts w:hint="eastAsia" w:ascii="宋体" w:hAnsi="宋体" w:cs="Arial"/>
          <w:szCs w:val="21"/>
        </w:rPr>
        <w:t>（</w:t>
      </w:r>
      <w:r>
        <w:rPr>
          <w:rFonts w:ascii="宋体" w:hAnsi="宋体" w:cs="Arial"/>
          <w:szCs w:val="21"/>
        </w:rPr>
        <w:t>2</w:t>
      </w:r>
      <w:r>
        <w:rPr>
          <w:rFonts w:hint="eastAsia" w:ascii="宋体" w:hAnsi="宋体" w:cs="Arial"/>
          <w:szCs w:val="21"/>
        </w:rPr>
        <w:t>）经评审委员会评审后否决所有比选供应商的；</w:t>
      </w:r>
    </w:p>
    <w:p w14:paraId="31813478">
      <w:pPr>
        <w:tabs>
          <w:tab w:val="left" w:pos="1050"/>
          <w:tab w:val="left" w:pos="1470"/>
        </w:tabs>
        <w:adjustRightInd w:val="0"/>
        <w:snapToGrid w:val="0"/>
        <w:spacing w:line="400" w:lineRule="exact"/>
        <w:ind w:firstLine="420" w:firstLineChars="200"/>
        <w:rPr>
          <w:rFonts w:hint="eastAsia" w:ascii="宋体" w:hAnsi="宋体" w:cs="Arial"/>
          <w:szCs w:val="21"/>
        </w:rPr>
      </w:pPr>
      <w:r>
        <w:rPr>
          <w:rFonts w:hint="eastAsia" w:ascii="宋体" w:hAnsi="宋体" w:cs="Arial"/>
          <w:szCs w:val="21"/>
        </w:rPr>
        <w:t>（3）经评审委员会初步评审后，有效比选供应商不足3家的，评审委员会可以全部否决，但是有效比选供应商的经济、技术等指标仍然具有市场竞争，能够满足比选文件要求的，评标委员会可以继续评审并确定中选候选人，否则比选人将重新组织比选</w:t>
      </w:r>
      <w:r>
        <w:rPr>
          <w:rFonts w:hint="eastAsia" w:ascii="宋体" w:hAnsi="宋体" w:cs="宋体"/>
          <w:snapToGrid w:val="0"/>
          <w:kern w:val="0"/>
          <w:szCs w:val="21"/>
        </w:rPr>
        <w:t>。</w:t>
      </w:r>
    </w:p>
    <w:p w14:paraId="44C69A90">
      <w:pPr>
        <w:spacing w:line="400" w:lineRule="exact"/>
        <w:ind w:firstLine="420" w:firstLineChars="200"/>
        <w:rPr>
          <w:rFonts w:hint="eastAsia" w:ascii="宋体" w:hAnsi="宋体" w:cs="Arial"/>
          <w:szCs w:val="21"/>
        </w:rPr>
      </w:pPr>
      <w:bookmarkStart w:id="600" w:name="_Toc345343666"/>
      <w:bookmarkStart w:id="601" w:name="_Toc348800131"/>
      <w:bookmarkStart w:id="602" w:name="_Toc324413098"/>
      <w:bookmarkStart w:id="603" w:name="_Toc411258101"/>
      <w:bookmarkStart w:id="604" w:name="_Toc322958568"/>
      <w:bookmarkStart w:id="605" w:name="_Toc352157834"/>
      <w:bookmarkStart w:id="606" w:name="_Toc346207095"/>
      <w:bookmarkStart w:id="607" w:name="_Toc325711656"/>
      <w:bookmarkStart w:id="608" w:name="_Toc406763756"/>
      <w:bookmarkStart w:id="609" w:name="_Toc428969065"/>
      <w:bookmarkStart w:id="610" w:name="_Toc513039478"/>
      <w:bookmarkStart w:id="611" w:name="_Toc400720570"/>
      <w:bookmarkStart w:id="612" w:name="_Toc345927390"/>
      <w:r>
        <w:rPr>
          <w:rFonts w:hint="eastAsia" w:ascii="宋体" w:hAnsi="宋体" w:cs="Arial"/>
          <w:szCs w:val="21"/>
        </w:rPr>
        <w:t>26.2取消中选资格</w:t>
      </w:r>
    </w:p>
    <w:p w14:paraId="12245E48">
      <w:pPr>
        <w:spacing w:line="400" w:lineRule="exact"/>
        <w:ind w:firstLine="420" w:firstLineChars="200"/>
        <w:rPr>
          <w:rFonts w:hint="eastAsia" w:ascii="宋体" w:hAnsi="宋体" w:cs="Arial"/>
          <w:szCs w:val="21"/>
        </w:rPr>
      </w:pPr>
      <w:r>
        <w:rPr>
          <w:rFonts w:hint="eastAsia" w:ascii="宋体" w:hAnsi="宋体" w:cs="Arial"/>
          <w:szCs w:val="21"/>
        </w:rPr>
        <w:t>若中选人放弃中选项目，无正当理由拒签合同，在签订合同时向比选人提出附加条件，或者不按照比选文件要求提交履约保证金，或比选供应商提供虚假资料，以弄虚作假的方式骗取中选，或出现法律法规或本比选文件中规定的比选人有权取消中选人中选资格的其他情形，经比选人核实，将取消其中选资格，比选保证金不予退还。</w:t>
      </w:r>
    </w:p>
    <w:p w14:paraId="1841AD13">
      <w:pPr>
        <w:pStyle w:val="472"/>
        <w:widowControl/>
        <w:adjustRightInd w:val="0"/>
        <w:snapToGrid w:val="0"/>
        <w:spacing w:afterLines="0" w:line="440" w:lineRule="atLeast"/>
        <w:ind w:left="0" w:firstLine="0"/>
        <w:jc w:val="left"/>
        <w:outlineLvl w:val="1"/>
        <w:rPr>
          <w:rFonts w:hint="eastAsia" w:ascii="宋体" w:hAnsi="宋体"/>
          <w:b/>
        </w:rPr>
      </w:pPr>
      <w:bookmarkStart w:id="613" w:name="_Toc5359"/>
      <w:bookmarkStart w:id="614" w:name="_Toc20693"/>
      <w:bookmarkStart w:id="615" w:name="_Toc29901"/>
      <w:bookmarkStart w:id="616" w:name="_Toc2520"/>
      <w:r>
        <w:rPr>
          <w:rFonts w:ascii="宋体" w:hAnsi="宋体"/>
          <w:b/>
        </w:rPr>
        <w:t>27.</w:t>
      </w:r>
      <w:r>
        <w:rPr>
          <w:rFonts w:hint="eastAsia" w:ascii="宋体" w:hAnsi="宋体"/>
          <w:b/>
        </w:rPr>
        <w:t>纪律和监督</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p>
    <w:p w14:paraId="2A997F3B">
      <w:pPr>
        <w:tabs>
          <w:tab w:val="left" w:pos="1050"/>
          <w:tab w:val="left" w:pos="1470"/>
        </w:tabs>
        <w:adjustRightInd w:val="0"/>
        <w:snapToGrid w:val="0"/>
        <w:spacing w:line="400" w:lineRule="exact"/>
        <w:ind w:firstLine="420" w:firstLineChars="200"/>
        <w:rPr>
          <w:rFonts w:hint="eastAsia" w:ascii="宋体" w:hAnsi="宋体" w:cs="Arial"/>
          <w:szCs w:val="21"/>
        </w:rPr>
      </w:pPr>
      <w:r>
        <w:rPr>
          <w:rFonts w:ascii="宋体" w:hAnsi="宋体" w:cs="Arial"/>
          <w:szCs w:val="21"/>
        </w:rPr>
        <w:t>27.1</w:t>
      </w:r>
      <w:r>
        <w:rPr>
          <w:rFonts w:hint="eastAsia" w:ascii="宋体" w:hAnsi="宋体" w:cs="Arial"/>
          <w:szCs w:val="21"/>
        </w:rPr>
        <w:t>对比选人的纪律要求</w:t>
      </w:r>
    </w:p>
    <w:p w14:paraId="5DB2BF4B">
      <w:pPr>
        <w:tabs>
          <w:tab w:val="left" w:pos="1050"/>
          <w:tab w:val="left" w:pos="1470"/>
        </w:tabs>
        <w:adjustRightInd w:val="0"/>
        <w:snapToGrid w:val="0"/>
        <w:spacing w:line="400" w:lineRule="exact"/>
        <w:ind w:firstLine="420" w:firstLineChars="200"/>
        <w:rPr>
          <w:rFonts w:hint="eastAsia" w:ascii="宋体" w:hAnsi="宋体" w:cs="Arial"/>
          <w:szCs w:val="21"/>
        </w:rPr>
      </w:pPr>
      <w:r>
        <w:rPr>
          <w:rFonts w:hint="eastAsia" w:ascii="宋体" w:hAnsi="宋体" w:cs="Arial"/>
          <w:szCs w:val="21"/>
        </w:rPr>
        <w:t>比选人不得泄漏比选活动中应当保密的情况和资料，不得与比选供应商串通损害国家利益、社会公共利益或者他人合法权益，禁止比选人与比选供应商串通比选（投标）。</w:t>
      </w:r>
    </w:p>
    <w:p w14:paraId="2D617750">
      <w:pPr>
        <w:tabs>
          <w:tab w:val="left" w:pos="1050"/>
          <w:tab w:val="left" w:pos="1470"/>
        </w:tabs>
        <w:adjustRightInd w:val="0"/>
        <w:snapToGrid w:val="0"/>
        <w:spacing w:line="400" w:lineRule="exact"/>
        <w:ind w:firstLine="420" w:firstLineChars="200"/>
        <w:rPr>
          <w:rFonts w:hint="eastAsia" w:ascii="宋体" w:hAnsi="宋体" w:cs="Arial"/>
          <w:szCs w:val="21"/>
        </w:rPr>
      </w:pPr>
      <w:r>
        <w:rPr>
          <w:rFonts w:hint="eastAsia" w:ascii="宋体" w:hAnsi="宋体" w:cs="Arial"/>
          <w:szCs w:val="21"/>
        </w:rPr>
        <w:t>有下列情形之一的，属于比选人与比选供应商串通比选（投标）：</w:t>
      </w:r>
    </w:p>
    <w:p w14:paraId="0F2B1474">
      <w:pPr>
        <w:tabs>
          <w:tab w:val="left" w:pos="1050"/>
          <w:tab w:val="left" w:pos="1470"/>
        </w:tabs>
        <w:adjustRightInd w:val="0"/>
        <w:snapToGrid w:val="0"/>
        <w:spacing w:line="400" w:lineRule="exact"/>
        <w:ind w:firstLine="420" w:firstLineChars="200"/>
        <w:rPr>
          <w:rFonts w:hint="eastAsia" w:ascii="宋体" w:hAnsi="宋体" w:cs="Arial"/>
          <w:szCs w:val="21"/>
        </w:rPr>
      </w:pPr>
      <w:r>
        <w:rPr>
          <w:rFonts w:hint="eastAsia" w:ascii="宋体" w:hAnsi="宋体" w:cs="Arial"/>
          <w:szCs w:val="21"/>
        </w:rPr>
        <w:t>（</w:t>
      </w:r>
      <w:r>
        <w:rPr>
          <w:rFonts w:ascii="宋体" w:hAnsi="宋体" w:cs="Arial"/>
          <w:szCs w:val="21"/>
        </w:rPr>
        <w:t>1</w:t>
      </w:r>
      <w:r>
        <w:rPr>
          <w:rFonts w:hint="eastAsia" w:ascii="宋体" w:hAnsi="宋体" w:cs="Arial"/>
          <w:szCs w:val="21"/>
        </w:rPr>
        <w:t>）比选人在开标前开启响应文件并将有关信息泄露给其他比选供应商；</w:t>
      </w:r>
    </w:p>
    <w:p w14:paraId="02BC5832">
      <w:pPr>
        <w:tabs>
          <w:tab w:val="left" w:pos="1050"/>
          <w:tab w:val="left" w:pos="1470"/>
        </w:tabs>
        <w:adjustRightInd w:val="0"/>
        <w:snapToGrid w:val="0"/>
        <w:spacing w:line="400" w:lineRule="exact"/>
        <w:ind w:firstLine="420" w:firstLineChars="200"/>
        <w:rPr>
          <w:rFonts w:hint="eastAsia" w:ascii="宋体" w:hAnsi="宋体" w:cs="Arial"/>
          <w:szCs w:val="21"/>
        </w:rPr>
      </w:pPr>
      <w:r>
        <w:rPr>
          <w:rFonts w:hint="eastAsia" w:ascii="宋体" w:hAnsi="宋体" w:cs="Arial"/>
          <w:szCs w:val="21"/>
        </w:rPr>
        <w:t>（</w:t>
      </w:r>
      <w:r>
        <w:rPr>
          <w:rFonts w:ascii="宋体" w:hAnsi="宋体" w:cs="Arial"/>
          <w:szCs w:val="21"/>
        </w:rPr>
        <w:t>2</w:t>
      </w:r>
      <w:r>
        <w:rPr>
          <w:rFonts w:hint="eastAsia" w:ascii="宋体" w:hAnsi="宋体" w:cs="Arial"/>
          <w:szCs w:val="21"/>
        </w:rPr>
        <w:t>）比选人直接或者间接向比选供应商泄露标底、评审委员会成员等信息；</w:t>
      </w:r>
    </w:p>
    <w:p w14:paraId="0E903688">
      <w:pPr>
        <w:tabs>
          <w:tab w:val="left" w:pos="1050"/>
          <w:tab w:val="left" w:pos="1470"/>
        </w:tabs>
        <w:adjustRightInd w:val="0"/>
        <w:snapToGrid w:val="0"/>
        <w:spacing w:line="400" w:lineRule="exact"/>
        <w:ind w:firstLine="420" w:firstLineChars="200"/>
        <w:rPr>
          <w:rFonts w:hint="eastAsia" w:ascii="宋体" w:hAnsi="宋体" w:cs="Arial"/>
          <w:szCs w:val="21"/>
        </w:rPr>
      </w:pPr>
      <w:r>
        <w:rPr>
          <w:rFonts w:hint="eastAsia" w:ascii="宋体" w:hAnsi="宋体" w:cs="Arial"/>
          <w:szCs w:val="21"/>
        </w:rPr>
        <w:t>（</w:t>
      </w:r>
      <w:r>
        <w:rPr>
          <w:rFonts w:ascii="宋体" w:hAnsi="宋体" w:cs="Arial"/>
          <w:szCs w:val="21"/>
        </w:rPr>
        <w:t>3</w:t>
      </w:r>
      <w:r>
        <w:rPr>
          <w:rFonts w:hint="eastAsia" w:ascii="宋体" w:hAnsi="宋体" w:cs="Arial"/>
          <w:szCs w:val="21"/>
        </w:rPr>
        <w:t>）比选人明示或者暗示比选供应商压低或者抬高比选报价；</w:t>
      </w:r>
    </w:p>
    <w:p w14:paraId="4D88B402">
      <w:pPr>
        <w:tabs>
          <w:tab w:val="left" w:pos="1050"/>
          <w:tab w:val="left" w:pos="1470"/>
        </w:tabs>
        <w:adjustRightInd w:val="0"/>
        <w:snapToGrid w:val="0"/>
        <w:spacing w:line="400" w:lineRule="exact"/>
        <w:ind w:firstLine="420" w:firstLineChars="200"/>
        <w:rPr>
          <w:rFonts w:hint="eastAsia" w:ascii="宋体" w:hAnsi="宋体" w:cs="Arial"/>
          <w:szCs w:val="21"/>
        </w:rPr>
      </w:pPr>
      <w:r>
        <w:rPr>
          <w:rFonts w:hint="eastAsia" w:ascii="宋体" w:hAnsi="宋体" w:cs="Arial"/>
          <w:szCs w:val="21"/>
        </w:rPr>
        <w:t>（</w:t>
      </w:r>
      <w:r>
        <w:rPr>
          <w:rFonts w:ascii="宋体" w:hAnsi="宋体" w:cs="Arial"/>
          <w:szCs w:val="21"/>
        </w:rPr>
        <w:t>4</w:t>
      </w:r>
      <w:r>
        <w:rPr>
          <w:rFonts w:hint="eastAsia" w:ascii="宋体" w:hAnsi="宋体" w:cs="Arial"/>
          <w:szCs w:val="21"/>
        </w:rPr>
        <w:t>）比选人授意比选供应商撤换、修改响应文件；</w:t>
      </w:r>
    </w:p>
    <w:p w14:paraId="106E8ED7">
      <w:pPr>
        <w:tabs>
          <w:tab w:val="left" w:pos="1050"/>
          <w:tab w:val="left" w:pos="1470"/>
        </w:tabs>
        <w:adjustRightInd w:val="0"/>
        <w:snapToGrid w:val="0"/>
        <w:spacing w:line="400" w:lineRule="exact"/>
        <w:ind w:firstLine="420" w:firstLineChars="200"/>
        <w:rPr>
          <w:rFonts w:hint="eastAsia" w:ascii="宋体" w:hAnsi="宋体" w:cs="Arial"/>
          <w:szCs w:val="21"/>
        </w:rPr>
      </w:pPr>
      <w:r>
        <w:rPr>
          <w:rFonts w:hint="eastAsia" w:ascii="宋体" w:hAnsi="宋体" w:cs="Arial"/>
          <w:szCs w:val="21"/>
        </w:rPr>
        <w:t>（</w:t>
      </w:r>
      <w:r>
        <w:rPr>
          <w:rFonts w:ascii="宋体" w:hAnsi="宋体" w:cs="Arial"/>
          <w:szCs w:val="21"/>
        </w:rPr>
        <w:t>5</w:t>
      </w:r>
      <w:r>
        <w:rPr>
          <w:rFonts w:hint="eastAsia" w:ascii="宋体" w:hAnsi="宋体" w:cs="Arial"/>
          <w:szCs w:val="21"/>
        </w:rPr>
        <w:t>）比选人明示或者暗示比选供应商为特定比选供应商中选提供方便；</w:t>
      </w:r>
    </w:p>
    <w:p w14:paraId="7C6A86F9">
      <w:pPr>
        <w:tabs>
          <w:tab w:val="left" w:pos="1050"/>
          <w:tab w:val="left" w:pos="1470"/>
        </w:tabs>
        <w:adjustRightInd w:val="0"/>
        <w:snapToGrid w:val="0"/>
        <w:spacing w:line="400" w:lineRule="exact"/>
        <w:ind w:firstLine="420" w:firstLineChars="200"/>
        <w:rPr>
          <w:rFonts w:hint="eastAsia" w:ascii="宋体" w:hAnsi="宋体" w:cs="Arial"/>
          <w:szCs w:val="21"/>
        </w:rPr>
      </w:pPr>
      <w:r>
        <w:rPr>
          <w:rFonts w:hint="eastAsia" w:ascii="宋体" w:hAnsi="宋体" w:cs="Arial"/>
          <w:szCs w:val="21"/>
        </w:rPr>
        <w:t>（</w:t>
      </w:r>
      <w:r>
        <w:rPr>
          <w:rFonts w:ascii="宋体" w:hAnsi="宋体" w:cs="Arial"/>
          <w:szCs w:val="21"/>
        </w:rPr>
        <w:t>6</w:t>
      </w:r>
      <w:r>
        <w:rPr>
          <w:rFonts w:hint="eastAsia" w:ascii="宋体" w:hAnsi="宋体" w:cs="Arial"/>
          <w:szCs w:val="21"/>
        </w:rPr>
        <w:t>）比选人与比选供应商为谋求特定比选供应商中选而采取的其他串通行为。</w:t>
      </w:r>
    </w:p>
    <w:p w14:paraId="1DC8F97E">
      <w:pPr>
        <w:tabs>
          <w:tab w:val="left" w:pos="1050"/>
          <w:tab w:val="left" w:pos="1470"/>
        </w:tabs>
        <w:adjustRightInd w:val="0"/>
        <w:snapToGrid w:val="0"/>
        <w:spacing w:line="400" w:lineRule="exact"/>
        <w:ind w:firstLine="420" w:firstLineChars="200"/>
        <w:rPr>
          <w:rFonts w:hint="eastAsia" w:ascii="宋体" w:hAnsi="宋体" w:cs="Arial"/>
          <w:szCs w:val="21"/>
        </w:rPr>
      </w:pPr>
      <w:r>
        <w:rPr>
          <w:rFonts w:ascii="宋体" w:hAnsi="宋体" w:cs="Arial"/>
          <w:szCs w:val="21"/>
        </w:rPr>
        <w:t>27.2</w:t>
      </w:r>
      <w:r>
        <w:rPr>
          <w:rFonts w:hint="eastAsia" w:ascii="宋体" w:hAnsi="宋体" w:cs="Arial"/>
          <w:szCs w:val="21"/>
        </w:rPr>
        <w:t>对比选供应商的纪律要求</w:t>
      </w:r>
    </w:p>
    <w:p w14:paraId="42181424">
      <w:pPr>
        <w:tabs>
          <w:tab w:val="left" w:pos="1050"/>
          <w:tab w:val="left" w:pos="1470"/>
        </w:tabs>
        <w:adjustRightInd w:val="0"/>
        <w:snapToGrid w:val="0"/>
        <w:spacing w:line="400" w:lineRule="exact"/>
        <w:ind w:firstLine="420" w:firstLineChars="200"/>
        <w:rPr>
          <w:rFonts w:hint="eastAsia" w:ascii="宋体" w:hAnsi="宋体" w:cs="Arial"/>
          <w:szCs w:val="21"/>
        </w:rPr>
      </w:pPr>
      <w:r>
        <w:rPr>
          <w:rFonts w:hint="eastAsia" w:ascii="宋体" w:hAnsi="宋体" w:cs="Arial"/>
          <w:szCs w:val="21"/>
        </w:rPr>
        <w:t>比选供应商不得相互串通比选（投标）或者与比选人串通比选（投标），不得向比选人或者评审委员会成员行贿谋取中选，不得以他人名义参加比选或者以其他方式弄虚作假骗取中选；比选供应商不得以任何方式干扰、影响评审工作。</w:t>
      </w:r>
    </w:p>
    <w:p w14:paraId="30C979DA">
      <w:pPr>
        <w:tabs>
          <w:tab w:val="left" w:pos="1050"/>
          <w:tab w:val="left" w:pos="1470"/>
        </w:tabs>
        <w:adjustRightInd w:val="0"/>
        <w:snapToGrid w:val="0"/>
        <w:spacing w:line="400" w:lineRule="exact"/>
        <w:ind w:firstLine="420" w:firstLineChars="200"/>
        <w:rPr>
          <w:rFonts w:hint="eastAsia" w:ascii="宋体" w:hAnsi="宋体" w:cs="Arial"/>
          <w:szCs w:val="21"/>
        </w:rPr>
      </w:pPr>
      <w:r>
        <w:rPr>
          <w:rFonts w:hint="eastAsia" w:ascii="宋体" w:hAnsi="宋体" w:cs="Arial"/>
          <w:szCs w:val="21"/>
        </w:rPr>
        <w:t>有下列情形之一的，属于比选供应商相互串通比选（投标）：</w:t>
      </w:r>
    </w:p>
    <w:p w14:paraId="3C5472B1">
      <w:pPr>
        <w:tabs>
          <w:tab w:val="left" w:pos="1050"/>
          <w:tab w:val="left" w:pos="1470"/>
        </w:tabs>
        <w:adjustRightInd w:val="0"/>
        <w:snapToGrid w:val="0"/>
        <w:spacing w:line="400" w:lineRule="exact"/>
        <w:ind w:firstLine="420" w:firstLineChars="200"/>
        <w:rPr>
          <w:rFonts w:hint="eastAsia" w:ascii="宋体" w:hAnsi="宋体" w:cs="Arial"/>
          <w:szCs w:val="21"/>
        </w:rPr>
      </w:pPr>
      <w:r>
        <w:rPr>
          <w:rFonts w:hint="eastAsia" w:ascii="宋体" w:hAnsi="宋体" w:cs="Arial"/>
          <w:szCs w:val="21"/>
        </w:rPr>
        <w:t>（</w:t>
      </w:r>
      <w:r>
        <w:rPr>
          <w:rFonts w:ascii="宋体" w:hAnsi="宋体" w:cs="Arial"/>
          <w:szCs w:val="21"/>
        </w:rPr>
        <w:t>1</w:t>
      </w:r>
      <w:r>
        <w:rPr>
          <w:rFonts w:hint="eastAsia" w:ascii="宋体" w:hAnsi="宋体" w:cs="Arial"/>
          <w:szCs w:val="21"/>
        </w:rPr>
        <w:t>）比选供应商之间协商比选报价等响应文件的实质性内容；</w:t>
      </w:r>
    </w:p>
    <w:p w14:paraId="0EC0C99E">
      <w:pPr>
        <w:tabs>
          <w:tab w:val="left" w:pos="1050"/>
          <w:tab w:val="left" w:pos="1470"/>
        </w:tabs>
        <w:adjustRightInd w:val="0"/>
        <w:snapToGrid w:val="0"/>
        <w:spacing w:line="400" w:lineRule="exact"/>
        <w:ind w:firstLine="420" w:firstLineChars="200"/>
        <w:rPr>
          <w:rFonts w:hint="eastAsia" w:ascii="宋体" w:hAnsi="宋体" w:cs="Arial"/>
          <w:szCs w:val="21"/>
        </w:rPr>
      </w:pPr>
      <w:r>
        <w:rPr>
          <w:rFonts w:hint="eastAsia" w:ascii="宋体" w:hAnsi="宋体" w:cs="Arial"/>
          <w:szCs w:val="21"/>
        </w:rPr>
        <w:t>（</w:t>
      </w:r>
      <w:r>
        <w:rPr>
          <w:rFonts w:ascii="宋体" w:hAnsi="宋体" w:cs="Arial"/>
          <w:szCs w:val="21"/>
        </w:rPr>
        <w:t>2</w:t>
      </w:r>
      <w:r>
        <w:rPr>
          <w:rFonts w:hint="eastAsia" w:ascii="宋体" w:hAnsi="宋体" w:cs="Arial"/>
          <w:szCs w:val="21"/>
        </w:rPr>
        <w:t>）比选供应商之间约定中选人；</w:t>
      </w:r>
    </w:p>
    <w:p w14:paraId="150379A8">
      <w:pPr>
        <w:tabs>
          <w:tab w:val="left" w:pos="1050"/>
          <w:tab w:val="left" w:pos="1470"/>
        </w:tabs>
        <w:adjustRightInd w:val="0"/>
        <w:snapToGrid w:val="0"/>
        <w:spacing w:line="400" w:lineRule="exact"/>
        <w:ind w:firstLine="420" w:firstLineChars="200"/>
        <w:rPr>
          <w:rFonts w:hint="eastAsia" w:ascii="宋体" w:hAnsi="宋体" w:cs="Arial"/>
          <w:szCs w:val="21"/>
        </w:rPr>
      </w:pPr>
      <w:r>
        <w:rPr>
          <w:rFonts w:hint="eastAsia" w:ascii="宋体" w:hAnsi="宋体" w:cs="Arial"/>
          <w:szCs w:val="21"/>
        </w:rPr>
        <w:t>（</w:t>
      </w:r>
      <w:r>
        <w:rPr>
          <w:rFonts w:ascii="宋体" w:hAnsi="宋体" w:cs="Arial"/>
          <w:szCs w:val="21"/>
        </w:rPr>
        <w:t>3</w:t>
      </w:r>
      <w:r>
        <w:rPr>
          <w:rFonts w:hint="eastAsia" w:ascii="宋体" w:hAnsi="宋体" w:cs="Arial"/>
          <w:szCs w:val="21"/>
        </w:rPr>
        <w:t>）比选供应商之间约定部分比选供应商放弃比选或者中选；</w:t>
      </w:r>
    </w:p>
    <w:p w14:paraId="415EF1E8">
      <w:pPr>
        <w:tabs>
          <w:tab w:val="left" w:pos="1050"/>
          <w:tab w:val="left" w:pos="1470"/>
        </w:tabs>
        <w:adjustRightInd w:val="0"/>
        <w:snapToGrid w:val="0"/>
        <w:spacing w:line="400" w:lineRule="exact"/>
        <w:ind w:firstLine="420" w:firstLineChars="200"/>
        <w:rPr>
          <w:rFonts w:hint="eastAsia" w:ascii="宋体" w:hAnsi="宋体" w:cs="Arial"/>
          <w:szCs w:val="21"/>
        </w:rPr>
      </w:pPr>
      <w:r>
        <w:rPr>
          <w:rFonts w:hint="eastAsia" w:ascii="宋体" w:hAnsi="宋体" w:cs="Arial"/>
          <w:szCs w:val="21"/>
        </w:rPr>
        <w:t>（</w:t>
      </w:r>
      <w:r>
        <w:rPr>
          <w:rFonts w:ascii="宋体" w:hAnsi="宋体" w:cs="Arial"/>
          <w:szCs w:val="21"/>
        </w:rPr>
        <w:t>4</w:t>
      </w:r>
      <w:r>
        <w:rPr>
          <w:rFonts w:hint="eastAsia" w:ascii="宋体" w:hAnsi="宋体" w:cs="Arial"/>
          <w:szCs w:val="21"/>
        </w:rPr>
        <w:t>）属于同一集团、协会、商会等组织成员的比选供应商按照该组织要求协同比选；</w:t>
      </w:r>
    </w:p>
    <w:p w14:paraId="72731CE2">
      <w:pPr>
        <w:tabs>
          <w:tab w:val="left" w:pos="1050"/>
          <w:tab w:val="left" w:pos="1470"/>
        </w:tabs>
        <w:adjustRightInd w:val="0"/>
        <w:snapToGrid w:val="0"/>
        <w:spacing w:line="400" w:lineRule="exact"/>
        <w:ind w:firstLine="420" w:firstLineChars="200"/>
        <w:rPr>
          <w:rFonts w:hint="eastAsia" w:ascii="宋体" w:hAnsi="宋体" w:cs="Arial"/>
          <w:szCs w:val="21"/>
        </w:rPr>
      </w:pPr>
      <w:r>
        <w:rPr>
          <w:rFonts w:hint="eastAsia" w:ascii="宋体" w:hAnsi="宋体" w:cs="Arial"/>
          <w:szCs w:val="21"/>
        </w:rPr>
        <w:t>（</w:t>
      </w:r>
      <w:r>
        <w:rPr>
          <w:rFonts w:ascii="宋体" w:hAnsi="宋体" w:cs="Arial"/>
          <w:szCs w:val="21"/>
        </w:rPr>
        <w:t>5</w:t>
      </w:r>
      <w:r>
        <w:rPr>
          <w:rFonts w:hint="eastAsia" w:ascii="宋体" w:hAnsi="宋体" w:cs="Arial"/>
          <w:szCs w:val="21"/>
        </w:rPr>
        <w:t>）比选供应商之间为谋取中选或者排斥特定比选供应商而采取的其他联合行动。</w:t>
      </w:r>
    </w:p>
    <w:p w14:paraId="4527EE81">
      <w:pPr>
        <w:tabs>
          <w:tab w:val="left" w:pos="1050"/>
          <w:tab w:val="left" w:pos="1470"/>
        </w:tabs>
        <w:adjustRightInd w:val="0"/>
        <w:snapToGrid w:val="0"/>
        <w:spacing w:line="400" w:lineRule="exact"/>
        <w:ind w:firstLine="420" w:firstLineChars="200"/>
        <w:rPr>
          <w:rFonts w:hint="eastAsia" w:ascii="宋体" w:hAnsi="宋体" w:cs="Arial"/>
          <w:szCs w:val="21"/>
        </w:rPr>
      </w:pPr>
      <w:r>
        <w:rPr>
          <w:rFonts w:hint="eastAsia" w:ascii="宋体" w:hAnsi="宋体" w:cs="Arial"/>
          <w:szCs w:val="21"/>
        </w:rPr>
        <w:t>有下列情形之一的，视为比选供应商相互串通比选（投标）：</w:t>
      </w:r>
    </w:p>
    <w:p w14:paraId="27F5B3FD">
      <w:pPr>
        <w:tabs>
          <w:tab w:val="left" w:pos="1050"/>
          <w:tab w:val="left" w:pos="1470"/>
        </w:tabs>
        <w:adjustRightInd w:val="0"/>
        <w:snapToGrid w:val="0"/>
        <w:spacing w:line="400" w:lineRule="exact"/>
        <w:ind w:firstLine="420" w:firstLineChars="200"/>
        <w:rPr>
          <w:rFonts w:hint="eastAsia" w:ascii="宋体" w:hAnsi="宋体" w:cs="Arial"/>
          <w:szCs w:val="21"/>
        </w:rPr>
      </w:pPr>
      <w:r>
        <w:rPr>
          <w:rFonts w:hint="eastAsia" w:ascii="宋体" w:hAnsi="宋体" w:cs="Arial"/>
          <w:szCs w:val="21"/>
        </w:rPr>
        <w:t>（</w:t>
      </w:r>
      <w:r>
        <w:rPr>
          <w:rFonts w:ascii="宋体" w:hAnsi="宋体" w:cs="Arial"/>
          <w:szCs w:val="21"/>
        </w:rPr>
        <w:t>1</w:t>
      </w:r>
      <w:r>
        <w:rPr>
          <w:rFonts w:hint="eastAsia" w:ascii="宋体" w:hAnsi="宋体" w:cs="Arial"/>
          <w:szCs w:val="21"/>
        </w:rPr>
        <w:t>）不同比选供应商的响应文件由同一单位或者个人编制；</w:t>
      </w:r>
    </w:p>
    <w:p w14:paraId="1806C4AF">
      <w:pPr>
        <w:tabs>
          <w:tab w:val="left" w:pos="1050"/>
          <w:tab w:val="left" w:pos="1470"/>
        </w:tabs>
        <w:adjustRightInd w:val="0"/>
        <w:snapToGrid w:val="0"/>
        <w:spacing w:line="400" w:lineRule="exact"/>
        <w:ind w:firstLine="420" w:firstLineChars="200"/>
        <w:rPr>
          <w:rFonts w:hint="eastAsia" w:ascii="宋体" w:hAnsi="宋体" w:cs="Arial"/>
          <w:szCs w:val="21"/>
        </w:rPr>
      </w:pPr>
      <w:r>
        <w:rPr>
          <w:rFonts w:hint="eastAsia" w:ascii="宋体" w:hAnsi="宋体" w:cs="Arial"/>
          <w:szCs w:val="21"/>
        </w:rPr>
        <w:t>（</w:t>
      </w:r>
      <w:r>
        <w:rPr>
          <w:rFonts w:ascii="宋体" w:hAnsi="宋体" w:cs="Arial"/>
          <w:szCs w:val="21"/>
        </w:rPr>
        <w:t>2</w:t>
      </w:r>
      <w:r>
        <w:rPr>
          <w:rFonts w:hint="eastAsia" w:ascii="宋体" w:hAnsi="宋体" w:cs="Arial"/>
          <w:szCs w:val="21"/>
        </w:rPr>
        <w:t>）不同比选供应商委托同一单位或者个人办理比选事宜；</w:t>
      </w:r>
    </w:p>
    <w:p w14:paraId="56B423E5">
      <w:pPr>
        <w:tabs>
          <w:tab w:val="left" w:pos="1050"/>
          <w:tab w:val="left" w:pos="1470"/>
        </w:tabs>
        <w:adjustRightInd w:val="0"/>
        <w:snapToGrid w:val="0"/>
        <w:spacing w:line="400" w:lineRule="exact"/>
        <w:ind w:firstLine="420" w:firstLineChars="200"/>
        <w:rPr>
          <w:rFonts w:hint="eastAsia" w:ascii="宋体" w:hAnsi="宋体" w:cs="Arial"/>
          <w:szCs w:val="21"/>
        </w:rPr>
      </w:pPr>
      <w:r>
        <w:rPr>
          <w:rFonts w:hint="eastAsia" w:ascii="宋体" w:hAnsi="宋体" w:cs="Arial"/>
          <w:szCs w:val="21"/>
        </w:rPr>
        <w:t>（</w:t>
      </w:r>
      <w:r>
        <w:rPr>
          <w:rFonts w:ascii="宋体" w:hAnsi="宋体" w:cs="Arial"/>
          <w:szCs w:val="21"/>
        </w:rPr>
        <w:t>3</w:t>
      </w:r>
      <w:r>
        <w:rPr>
          <w:rFonts w:hint="eastAsia" w:ascii="宋体" w:hAnsi="宋体" w:cs="Arial"/>
          <w:szCs w:val="21"/>
        </w:rPr>
        <w:t>）不同比选供应商的响应文件载明的项目管理成员为同一人；</w:t>
      </w:r>
    </w:p>
    <w:p w14:paraId="57D1FC7B">
      <w:pPr>
        <w:tabs>
          <w:tab w:val="left" w:pos="1050"/>
          <w:tab w:val="left" w:pos="1470"/>
        </w:tabs>
        <w:adjustRightInd w:val="0"/>
        <w:snapToGrid w:val="0"/>
        <w:spacing w:line="400" w:lineRule="exact"/>
        <w:ind w:firstLine="420" w:firstLineChars="200"/>
        <w:rPr>
          <w:rFonts w:hint="eastAsia" w:ascii="宋体" w:hAnsi="宋体" w:cs="Arial"/>
          <w:szCs w:val="21"/>
        </w:rPr>
      </w:pPr>
      <w:r>
        <w:rPr>
          <w:rFonts w:hint="eastAsia" w:ascii="宋体" w:hAnsi="宋体" w:cs="Arial"/>
          <w:szCs w:val="21"/>
        </w:rPr>
        <w:t>（</w:t>
      </w:r>
      <w:r>
        <w:rPr>
          <w:rFonts w:ascii="宋体" w:hAnsi="宋体" w:cs="Arial"/>
          <w:szCs w:val="21"/>
        </w:rPr>
        <w:t>4</w:t>
      </w:r>
      <w:r>
        <w:rPr>
          <w:rFonts w:hint="eastAsia" w:ascii="宋体" w:hAnsi="宋体" w:cs="Arial"/>
          <w:szCs w:val="21"/>
        </w:rPr>
        <w:t>）不同比选供应商的响应文件异常一致或者比选报价呈规律性差异；</w:t>
      </w:r>
    </w:p>
    <w:p w14:paraId="2DCFD0ED">
      <w:pPr>
        <w:tabs>
          <w:tab w:val="left" w:pos="1050"/>
          <w:tab w:val="left" w:pos="1470"/>
        </w:tabs>
        <w:adjustRightInd w:val="0"/>
        <w:snapToGrid w:val="0"/>
        <w:spacing w:line="400" w:lineRule="exact"/>
        <w:ind w:firstLine="420" w:firstLineChars="200"/>
        <w:rPr>
          <w:rFonts w:hint="eastAsia" w:ascii="宋体" w:hAnsi="宋体" w:cs="Arial"/>
          <w:szCs w:val="21"/>
        </w:rPr>
      </w:pPr>
      <w:r>
        <w:rPr>
          <w:rFonts w:hint="eastAsia" w:ascii="宋体" w:hAnsi="宋体" w:cs="Arial"/>
          <w:szCs w:val="21"/>
        </w:rPr>
        <w:t>（</w:t>
      </w:r>
      <w:r>
        <w:rPr>
          <w:rFonts w:ascii="宋体" w:hAnsi="宋体" w:cs="Arial"/>
          <w:szCs w:val="21"/>
        </w:rPr>
        <w:t>5</w:t>
      </w:r>
      <w:r>
        <w:rPr>
          <w:rFonts w:hint="eastAsia" w:ascii="宋体" w:hAnsi="宋体" w:cs="Arial"/>
          <w:szCs w:val="21"/>
        </w:rPr>
        <w:t>）不同比选供应商的响应文件相互混装；</w:t>
      </w:r>
    </w:p>
    <w:p w14:paraId="188EF090">
      <w:pPr>
        <w:tabs>
          <w:tab w:val="left" w:pos="1050"/>
          <w:tab w:val="left" w:pos="1470"/>
        </w:tabs>
        <w:adjustRightInd w:val="0"/>
        <w:snapToGrid w:val="0"/>
        <w:spacing w:line="400" w:lineRule="exact"/>
        <w:ind w:firstLine="420" w:firstLineChars="200"/>
        <w:rPr>
          <w:rFonts w:hint="eastAsia" w:ascii="宋体" w:hAnsi="宋体" w:cs="Arial"/>
          <w:szCs w:val="21"/>
        </w:rPr>
      </w:pPr>
      <w:r>
        <w:rPr>
          <w:rFonts w:hint="eastAsia" w:ascii="宋体" w:hAnsi="宋体" w:cs="Arial"/>
          <w:szCs w:val="21"/>
        </w:rPr>
        <w:t>（</w:t>
      </w:r>
      <w:r>
        <w:rPr>
          <w:rFonts w:ascii="宋体" w:hAnsi="宋体" w:cs="Arial"/>
          <w:szCs w:val="21"/>
        </w:rPr>
        <w:t>6</w:t>
      </w:r>
      <w:r>
        <w:rPr>
          <w:rFonts w:hint="eastAsia" w:ascii="宋体" w:hAnsi="宋体" w:cs="Arial"/>
          <w:szCs w:val="21"/>
        </w:rPr>
        <w:t>）不同比选供应商的比选保证金从同一单位或者个人的账户转出。</w:t>
      </w:r>
    </w:p>
    <w:p w14:paraId="3EAF7D55">
      <w:pPr>
        <w:tabs>
          <w:tab w:val="left" w:pos="1050"/>
          <w:tab w:val="left" w:pos="1470"/>
        </w:tabs>
        <w:adjustRightInd w:val="0"/>
        <w:snapToGrid w:val="0"/>
        <w:spacing w:line="400" w:lineRule="exact"/>
        <w:ind w:firstLine="420" w:firstLineChars="200"/>
        <w:rPr>
          <w:rFonts w:hint="eastAsia" w:ascii="宋体" w:hAnsi="宋体" w:cs="Arial"/>
          <w:szCs w:val="21"/>
        </w:rPr>
      </w:pPr>
      <w:r>
        <w:rPr>
          <w:rFonts w:hint="eastAsia" w:ascii="宋体" w:hAnsi="宋体" w:cs="Arial"/>
          <w:szCs w:val="21"/>
        </w:rPr>
        <w:t>使用通过受让或者租借等方式获取的资格、资质证书参加比选的，属于以他人名义比选。</w:t>
      </w:r>
    </w:p>
    <w:p w14:paraId="6D68087B">
      <w:pPr>
        <w:tabs>
          <w:tab w:val="left" w:pos="1050"/>
          <w:tab w:val="left" w:pos="1470"/>
        </w:tabs>
        <w:adjustRightInd w:val="0"/>
        <w:snapToGrid w:val="0"/>
        <w:spacing w:line="400" w:lineRule="exact"/>
        <w:ind w:firstLine="420" w:firstLineChars="200"/>
        <w:rPr>
          <w:rFonts w:hint="eastAsia" w:ascii="宋体" w:hAnsi="宋体" w:cs="Arial"/>
          <w:szCs w:val="21"/>
        </w:rPr>
      </w:pPr>
      <w:r>
        <w:rPr>
          <w:rFonts w:ascii="宋体" w:hAnsi="宋体" w:cs="Arial"/>
          <w:szCs w:val="21"/>
        </w:rPr>
        <w:t>27.3</w:t>
      </w:r>
      <w:r>
        <w:rPr>
          <w:rFonts w:hint="eastAsia" w:ascii="宋体" w:hAnsi="宋体" w:cs="Arial"/>
          <w:szCs w:val="21"/>
        </w:rPr>
        <w:t>对评审委员会成员的纪律要求</w:t>
      </w:r>
    </w:p>
    <w:p w14:paraId="4B1A5862">
      <w:pPr>
        <w:tabs>
          <w:tab w:val="left" w:pos="1050"/>
          <w:tab w:val="left" w:pos="1470"/>
        </w:tabs>
        <w:adjustRightInd w:val="0"/>
        <w:snapToGrid w:val="0"/>
        <w:spacing w:line="400" w:lineRule="exact"/>
        <w:ind w:firstLine="420" w:firstLineChars="200"/>
        <w:rPr>
          <w:rFonts w:hint="eastAsia" w:ascii="宋体" w:hAnsi="宋体" w:cs="Arial"/>
          <w:szCs w:val="21"/>
        </w:rPr>
      </w:pPr>
      <w:r>
        <w:rPr>
          <w:rFonts w:hint="eastAsia" w:ascii="宋体" w:hAnsi="宋体" w:cs="Arial"/>
          <w:szCs w:val="21"/>
        </w:rPr>
        <w:t>评审委员会成员不得收受他人的财物或者其它好处，不得向他人透露对响应文件的评审和比较、中标候选人的推荐情况以及评标有关的其他情况。在评审活动中，评审委员会成员不得擅离职守，影响评审程序正常进行，不得使用本比选文件没有规定的评审因素进行评审。</w:t>
      </w:r>
    </w:p>
    <w:p w14:paraId="4CBD91A0">
      <w:pPr>
        <w:tabs>
          <w:tab w:val="left" w:pos="1050"/>
          <w:tab w:val="left" w:pos="1470"/>
        </w:tabs>
        <w:adjustRightInd w:val="0"/>
        <w:snapToGrid w:val="0"/>
        <w:spacing w:line="400" w:lineRule="exact"/>
        <w:ind w:firstLine="420" w:firstLineChars="200"/>
        <w:rPr>
          <w:rFonts w:hint="eastAsia" w:ascii="宋体" w:hAnsi="宋体" w:cs="Arial"/>
          <w:szCs w:val="21"/>
        </w:rPr>
      </w:pPr>
      <w:r>
        <w:rPr>
          <w:rFonts w:ascii="宋体" w:hAnsi="宋体" w:cs="Arial"/>
          <w:szCs w:val="21"/>
        </w:rPr>
        <w:t>27.4</w:t>
      </w:r>
      <w:r>
        <w:rPr>
          <w:rFonts w:hint="eastAsia" w:ascii="宋体" w:hAnsi="宋体" w:cs="Arial"/>
          <w:szCs w:val="21"/>
        </w:rPr>
        <w:t>对与评审活动有关工作人员的纪律要求</w:t>
      </w:r>
    </w:p>
    <w:p w14:paraId="1F8881CA">
      <w:pPr>
        <w:tabs>
          <w:tab w:val="left" w:pos="1050"/>
          <w:tab w:val="left" w:pos="1470"/>
        </w:tabs>
        <w:adjustRightInd w:val="0"/>
        <w:snapToGrid w:val="0"/>
        <w:spacing w:line="400" w:lineRule="exact"/>
        <w:ind w:firstLine="420" w:firstLineChars="200"/>
        <w:rPr>
          <w:rFonts w:hint="eastAsia" w:ascii="宋体" w:hAnsi="宋体" w:cs="Arial"/>
          <w:szCs w:val="21"/>
        </w:rPr>
      </w:pPr>
      <w:r>
        <w:rPr>
          <w:rFonts w:hint="eastAsia" w:ascii="宋体" w:hAnsi="宋体" w:cs="Arial"/>
          <w:szCs w:val="21"/>
        </w:rPr>
        <w:t>与评审活动有关的工作人员不得收受他人的财物或者其它好处，不得向他人透露对响应文件的评审和比较、中选候选人的推荐情况以及评审的其他情况。在评审活动中，与评审活动有关的工作人员不得擅离职守，影响评审程序正常进行。</w:t>
      </w:r>
    </w:p>
    <w:p w14:paraId="52E7F3FB">
      <w:pPr>
        <w:tabs>
          <w:tab w:val="left" w:pos="1050"/>
          <w:tab w:val="left" w:pos="1470"/>
        </w:tabs>
        <w:adjustRightInd w:val="0"/>
        <w:snapToGrid w:val="0"/>
        <w:spacing w:line="400" w:lineRule="exact"/>
        <w:ind w:firstLine="420" w:firstLineChars="200"/>
        <w:rPr>
          <w:rFonts w:hint="eastAsia" w:ascii="宋体" w:hAnsi="宋体" w:cs="Arial"/>
          <w:szCs w:val="21"/>
        </w:rPr>
      </w:pPr>
      <w:r>
        <w:rPr>
          <w:rFonts w:hint="eastAsia" w:ascii="宋体" w:hAnsi="宋体" w:cs="Arial"/>
          <w:szCs w:val="21"/>
        </w:rPr>
        <w:t>27.5异议、投诉处理：详见比选供应商须知前附表。</w:t>
      </w:r>
    </w:p>
    <w:p w14:paraId="2787B69B">
      <w:pPr>
        <w:tabs>
          <w:tab w:val="left" w:pos="1050"/>
          <w:tab w:val="left" w:pos="1470"/>
        </w:tabs>
        <w:adjustRightInd w:val="0"/>
        <w:snapToGrid w:val="0"/>
        <w:spacing w:line="400" w:lineRule="exact"/>
        <w:ind w:firstLine="420" w:firstLineChars="200"/>
        <w:rPr>
          <w:rFonts w:hint="eastAsia" w:ascii="宋体" w:hAnsi="宋体" w:cs="Arial"/>
          <w:szCs w:val="21"/>
        </w:rPr>
      </w:pPr>
      <w:r>
        <w:rPr>
          <w:rFonts w:ascii="宋体" w:hAnsi="宋体" w:cs="Arial"/>
          <w:szCs w:val="21"/>
        </w:rPr>
        <w:t>27.</w:t>
      </w:r>
      <w:r>
        <w:rPr>
          <w:rFonts w:hint="eastAsia" w:ascii="宋体" w:hAnsi="宋体" w:cs="Arial"/>
          <w:szCs w:val="21"/>
        </w:rPr>
        <w:t>6监督</w:t>
      </w:r>
    </w:p>
    <w:p w14:paraId="1C752AA8">
      <w:pPr>
        <w:tabs>
          <w:tab w:val="left" w:pos="1050"/>
          <w:tab w:val="left" w:pos="1470"/>
        </w:tabs>
        <w:adjustRightInd w:val="0"/>
        <w:snapToGrid w:val="0"/>
        <w:spacing w:line="400" w:lineRule="exact"/>
        <w:ind w:firstLine="420" w:firstLineChars="200"/>
        <w:rPr>
          <w:rFonts w:hint="eastAsia" w:ascii="宋体" w:hAnsi="宋体" w:cs="Arial"/>
          <w:szCs w:val="21"/>
        </w:rPr>
      </w:pPr>
      <w:r>
        <w:rPr>
          <w:rFonts w:hint="eastAsia" w:ascii="宋体" w:hAnsi="宋体" w:cs="Arial"/>
          <w:szCs w:val="21"/>
        </w:rPr>
        <w:t>本次比选活动接受有关监督部门监督。</w:t>
      </w:r>
    </w:p>
    <w:p w14:paraId="55F23A68">
      <w:pPr>
        <w:spacing w:line="400" w:lineRule="exact"/>
        <w:jc w:val="center"/>
        <w:rPr>
          <w:rFonts w:hint="eastAsia" w:ascii="宋体" w:hAnsi="宋体"/>
          <w:b/>
        </w:rPr>
      </w:pPr>
      <w:bookmarkStart w:id="617" w:name="_Toc325711657"/>
      <w:bookmarkStart w:id="618" w:name="_Toc352157835"/>
      <w:bookmarkStart w:id="619" w:name="_Toc411258102"/>
      <w:bookmarkStart w:id="620" w:name="_Toc324413099"/>
      <w:bookmarkStart w:id="621" w:name="_Toc428969066"/>
      <w:bookmarkStart w:id="622" w:name="_Toc345343667"/>
      <w:bookmarkStart w:id="623" w:name="_Toc346207096"/>
      <w:bookmarkStart w:id="624" w:name="_Toc400720571"/>
      <w:bookmarkStart w:id="625" w:name="_Toc406763757"/>
      <w:bookmarkStart w:id="626" w:name="_Toc513039479"/>
      <w:bookmarkStart w:id="627" w:name="_Toc345927391"/>
      <w:bookmarkStart w:id="628" w:name="_Toc322958569"/>
      <w:bookmarkStart w:id="629" w:name="_Toc348800132"/>
      <w:r>
        <w:rPr>
          <w:rFonts w:ascii="宋体" w:hAnsi="宋体"/>
          <w:b/>
        </w:rPr>
        <w:t>G</w:t>
      </w:r>
      <w:r>
        <w:rPr>
          <w:rFonts w:hint="eastAsia" w:ascii="宋体" w:hAnsi="宋体"/>
          <w:b/>
        </w:rPr>
        <w:t>比选代理服务费</w:t>
      </w:r>
      <w:bookmarkEnd w:id="583"/>
      <w:bookmarkEnd w:id="617"/>
      <w:bookmarkEnd w:id="618"/>
      <w:bookmarkEnd w:id="619"/>
      <w:bookmarkEnd w:id="620"/>
      <w:bookmarkEnd w:id="621"/>
      <w:bookmarkEnd w:id="622"/>
      <w:bookmarkEnd w:id="623"/>
      <w:bookmarkEnd w:id="624"/>
      <w:bookmarkEnd w:id="625"/>
      <w:bookmarkEnd w:id="626"/>
      <w:bookmarkEnd w:id="627"/>
      <w:bookmarkEnd w:id="628"/>
      <w:bookmarkEnd w:id="629"/>
    </w:p>
    <w:p w14:paraId="48B79DA5">
      <w:pPr>
        <w:pStyle w:val="472"/>
        <w:widowControl/>
        <w:adjustRightInd w:val="0"/>
        <w:snapToGrid w:val="0"/>
        <w:spacing w:afterLines="0" w:line="440" w:lineRule="atLeast"/>
        <w:ind w:left="0" w:firstLine="0"/>
        <w:jc w:val="left"/>
        <w:outlineLvl w:val="1"/>
        <w:rPr>
          <w:rFonts w:hint="eastAsia" w:ascii="宋体" w:hAnsi="宋体"/>
          <w:b/>
        </w:rPr>
      </w:pPr>
      <w:bookmarkStart w:id="630" w:name="_Toc345927392"/>
      <w:bookmarkStart w:id="631" w:name="_Toc411258103"/>
      <w:bookmarkStart w:id="632" w:name="_Toc18778"/>
      <w:bookmarkStart w:id="633" w:name="_Toc324413100"/>
      <w:bookmarkStart w:id="634" w:name="_Toc346207097"/>
      <w:bookmarkStart w:id="635" w:name="_Toc352157836"/>
      <w:bookmarkStart w:id="636" w:name="_Toc17074"/>
      <w:bookmarkStart w:id="637" w:name="_Toc513039480"/>
      <w:bookmarkStart w:id="638" w:name="_Toc325711658"/>
      <w:bookmarkStart w:id="639" w:name="_Toc428969067"/>
      <w:bookmarkStart w:id="640" w:name="_Toc348800133"/>
      <w:bookmarkStart w:id="641" w:name="_Toc24300"/>
      <w:bookmarkStart w:id="642" w:name="_Toc322958570"/>
      <w:bookmarkStart w:id="643" w:name="_Toc141675407"/>
      <w:bookmarkStart w:id="644" w:name="_Toc406763758"/>
      <w:bookmarkStart w:id="645" w:name="_Toc345343668"/>
      <w:bookmarkStart w:id="646" w:name="_Toc17352"/>
      <w:bookmarkStart w:id="647" w:name="_Toc400720572"/>
      <w:r>
        <w:rPr>
          <w:rFonts w:ascii="宋体" w:hAnsi="宋体"/>
          <w:b/>
        </w:rPr>
        <w:t>28.</w:t>
      </w:r>
      <w:r>
        <w:rPr>
          <w:rFonts w:hint="eastAsia" w:ascii="宋体" w:hAnsi="宋体"/>
          <w:b/>
        </w:rPr>
        <w:t>比选代理服务费</w:t>
      </w:r>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47279211">
      <w:pPr>
        <w:tabs>
          <w:tab w:val="left" w:pos="1050"/>
          <w:tab w:val="left" w:pos="1470"/>
        </w:tabs>
        <w:adjustRightInd w:val="0"/>
        <w:snapToGrid w:val="0"/>
        <w:spacing w:line="400" w:lineRule="exact"/>
        <w:ind w:firstLine="420" w:firstLineChars="200"/>
        <w:rPr>
          <w:rFonts w:hint="eastAsia" w:ascii="宋体" w:hAnsi="宋体" w:cs="Arial"/>
          <w:szCs w:val="21"/>
        </w:rPr>
      </w:pPr>
      <w:r>
        <w:rPr>
          <w:rFonts w:ascii="宋体" w:hAnsi="宋体" w:cs="Arial"/>
          <w:szCs w:val="21"/>
        </w:rPr>
        <w:t>28.1</w:t>
      </w:r>
      <w:r>
        <w:rPr>
          <w:rFonts w:hint="eastAsia" w:ascii="宋体" w:hAnsi="宋体" w:cs="Arial"/>
          <w:szCs w:val="21"/>
        </w:rPr>
        <w:t>比选代理服务费：详见比选供应商须知前附表。</w:t>
      </w:r>
    </w:p>
    <w:p w14:paraId="541B68D2">
      <w:pPr>
        <w:tabs>
          <w:tab w:val="left" w:pos="1050"/>
          <w:tab w:val="left" w:pos="1470"/>
        </w:tabs>
        <w:adjustRightInd w:val="0"/>
        <w:snapToGrid w:val="0"/>
        <w:spacing w:line="400" w:lineRule="exact"/>
        <w:ind w:firstLine="420" w:firstLineChars="200"/>
        <w:rPr>
          <w:rFonts w:hint="eastAsia" w:ascii="宋体" w:hAnsi="宋体" w:cs="Arial"/>
          <w:szCs w:val="21"/>
        </w:rPr>
      </w:pPr>
      <w:r>
        <w:rPr>
          <w:rFonts w:ascii="宋体" w:hAnsi="宋体" w:cs="Arial"/>
          <w:szCs w:val="21"/>
        </w:rPr>
        <w:t>28.2</w:t>
      </w:r>
      <w:r>
        <w:rPr>
          <w:rFonts w:hint="eastAsia" w:ascii="宋体" w:hAnsi="宋体" w:cs="Arial"/>
          <w:szCs w:val="21"/>
        </w:rPr>
        <w:t>比选代理服务费支付方式：现金或银行转账。</w:t>
      </w:r>
    </w:p>
    <w:p w14:paraId="3A91278A">
      <w:pPr>
        <w:spacing w:line="400" w:lineRule="exact"/>
        <w:jc w:val="center"/>
        <w:rPr>
          <w:b/>
          <w:bCs/>
        </w:rPr>
      </w:pPr>
      <w:r>
        <w:rPr>
          <w:rFonts w:hint="eastAsia"/>
          <w:b/>
          <w:bCs/>
        </w:rPr>
        <w:t>J其他</w:t>
      </w:r>
    </w:p>
    <w:p w14:paraId="6DA6BE82">
      <w:pPr>
        <w:pStyle w:val="472"/>
        <w:widowControl/>
        <w:adjustRightInd w:val="0"/>
        <w:snapToGrid w:val="0"/>
        <w:spacing w:afterLines="0" w:line="440" w:lineRule="atLeast"/>
        <w:ind w:left="0" w:firstLine="0"/>
        <w:jc w:val="left"/>
        <w:outlineLvl w:val="1"/>
        <w:rPr>
          <w:rFonts w:hint="eastAsia" w:ascii="宋体" w:hAnsi="宋体"/>
          <w:b/>
        </w:rPr>
      </w:pPr>
      <w:bookmarkStart w:id="648" w:name="_Toc411258105"/>
      <w:bookmarkStart w:id="649" w:name="_Toc406763760"/>
      <w:bookmarkStart w:id="650" w:name="_Toc400720574"/>
      <w:bookmarkStart w:id="651" w:name="_Toc428969069"/>
      <w:bookmarkStart w:id="652" w:name="_Toc9592"/>
      <w:bookmarkStart w:id="653" w:name="_Toc23331"/>
      <w:bookmarkStart w:id="654" w:name="_Toc5044"/>
      <w:bookmarkStart w:id="655" w:name="_Toc7742"/>
      <w:bookmarkStart w:id="656" w:name="_Toc513039482"/>
      <w:r>
        <w:rPr>
          <w:rFonts w:hint="eastAsia" w:ascii="宋体" w:hAnsi="宋体"/>
          <w:b/>
        </w:rPr>
        <w:t>29.</w:t>
      </w:r>
      <w:bookmarkEnd w:id="648"/>
      <w:bookmarkEnd w:id="649"/>
      <w:bookmarkEnd w:id="650"/>
      <w:bookmarkEnd w:id="651"/>
      <w:r>
        <w:rPr>
          <w:rFonts w:hint="eastAsia" w:ascii="宋体" w:hAnsi="宋体"/>
          <w:b/>
        </w:rPr>
        <w:t>其他</w:t>
      </w:r>
      <w:bookmarkEnd w:id="652"/>
      <w:bookmarkEnd w:id="653"/>
      <w:bookmarkEnd w:id="654"/>
      <w:bookmarkEnd w:id="655"/>
      <w:bookmarkEnd w:id="656"/>
    </w:p>
    <w:p w14:paraId="30E77837">
      <w:pPr>
        <w:snapToGrid w:val="0"/>
        <w:spacing w:line="400" w:lineRule="exact"/>
        <w:ind w:firstLine="428" w:firstLineChars="204"/>
        <w:rPr>
          <w:rFonts w:hint="eastAsia" w:ascii="宋体" w:hAnsi="宋体"/>
          <w:szCs w:val="21"/>
        </w:rPr>
      </w:pPr>
      <w:r>
        <w:rPr>
          <w:rFonts w:hint="eastAsia" w:ascii="宋体" w:hAnsi="宋体"/>
          <w:szCs w:val="21"/>
        </w:rPr>
        <w:t>29</w:t>
      </w:r>
      <w:r>
        <w:rPr>
          <w:rFonts w:ascii="宋体" w:hAnsi="宋体"/>
          <w:szCs w:val="21"/>
        </w:rPr>
        <w:t>.</w:t>
      </w:r>
      <w:r>
        <w:rPr>
          <w:rFonts w:hint="eastAsia" w:ascii="宋体" w:hAnsi="宋体"/>
          <w:szCs w:val="21"/>
        </w:rPr>
        <w:t>1</w:t>
      </w:r>
      <w:r>
        <w:rPr>
          <w:rFonts w:ascii="宋体" w:hAnsi="宋体"/>
          <w:szCs w:val="21"/>
        </w:rPr>
        <w:t>转包：</w:t>
      </w:r>
      <w:r>
        <w:rPr>
          <w:rFonts w:hint="eastAsia" w:ascii="宋体" w:hAnsi="宋体" w:cs="Arial"/>
          <w:szCs w:val="21"/>
        </w:rPr>
        <w:t>详见比选供应商须知前附表。</w:t>
      </w:r>
    </w:p>
    <w:p w14:paraId="3AFB9A8A">
      <w:pPr>
        <w:snapToGrid w:val="0"/>
        <w:spacing w:line="400" w:lineRule="exact"/>
        <w:ind w:firstLine="428" w:firstLineChars="204"/>
        <w:rPr>
          <w:rFonts w:hint="eastAsia" w:ascii="宋体" w:hAnsi="宋体"/>
          <w:szCs w:val="21"/>
        </w:rPr>
      </w:pPr>
      <w:r>
        <w:rPr>
          <w:rFonts w:hint="eastAsia" w:ascii="宋体" w:hAnsi="宋体"/>
          <w:szCs w:val="21"/>
        </w:rPr>
        <w:t>29.2比选人要求参与比选各方在整个比选过程及合同实施过程中应遵守最高的道德标准。</w:t>
      </w:r>
    </w:p>
    <w:p w14:paraId="616481B0">
      <w:pPr>
        <w:rPr>
          <w:rFonts w:hint="eastAsia" w:ascii="宋体" w:hAnsi="宋体" w:cs="Arial"/>
          <w:szCs w:val="21"/>
        </w:rPr>
      </w:pPr>
      <w:bookmarkStart w:id="657" w:name="_Toc127516429"/>
      <w:r>
        <w:rPr>
          <w:rFonts w:hint="eastAsia" w:ascii="宋体" w:hAnsi="宋体" w:cs="Arial"/>
          <w:szCs w:val="21"/>
        </w:rPr>
        <w:br w:type="page"/>
      </w:r>
    </w:p>
    <w:p w14:paraId="67D029CE">
      <w:bookmarkStart w:id="658" w:name="_Toc17034"/>
      <w:bookmarkStart w:id="659" w:name="_Toc224103384"/>
      <w:bookmarkStart w:id="660" w:name="_Toc148061396"/>
      <w:bookmarkStart w:id="661" w:name="_Toc312326133"/>
      <w:bookmarkStart w:id="662" w:name="_Toc310932701"/>
      <w:bookmarkStart w:id="663" w:name="_Toc101780689"/>
      <w:bookmarkStart w:id="664" w:name="_Toc478841575"/>
      <w:bookmarkStart w:id="665" w:name="_Toc312326007"/>
      <w:bookmarkStart w:id="666" w:name="_Toc312325920"/>
      <w:bookmarkStart w:id="667" w:name="_Toc200513198"/>
    </w:p>
    <w:p w14:paraId="37E0C11E">
      <w:pPr>
        <w:keepNext/>
        <w:spacing w:line="360" w:lineRule="auto"/>
        <w:jc w:val="center"/>
        <w:outlineLvl w:val="0"/>
        <w:rPr>
          <w:rFonts w:hint="eastAsia" w:ascii="宋体" w:hAnsi="宋体" w:cs="宋体"/>
          <w:b/>
          <w:sz w:val="44"/>
          <w:szCs w:val="44"/>
        </w:rPr>
      </w:pPr>
      <w:bookmarkStart w:id="668" w:name="_Toc25575"/>
      <w:r>
        <w:rPr>
          <w:rFonts w:hint="eastAsia" w:ascii="宋体" w:hAnsi="宋体" w:cs="宋体"/>
          <w:b/>
          <w:sz w:val="44"/>
          <w:szCs w:val="44"/>
        </w:rPr>
        <w:t>第三章</w:t>
      </w:r>
      <w:bookmarkStart w:id="669" w:name="_Toc224103382"/>
      <w:bookmarkStart w:id="670" w:name="_Toc312326005"/>
      <w:bookmarkStart w:id="671" w:name="_Toc478841573"/>
      <w:bookmarkStart w:id="672" w:name="_Toc312325918"/>
      <w:bookmarkStart w:id="673" w:name="_Toc310932699"/>
      <w:bookmarkStart w:id="674" w:name="_Toc101780687"/>
      <w:bookmarkStart w:id="675" w:name="_Toc312326131"/>
      <w:r>
        <w:rPr>
          <w:rFonts w:hint="eastAsia" w:ascii="宋体" w:hAnsi="宋体" w:cs="宋体"/>
          <w:b/>
          <w:sz w:val="44"/>
          <w:szCs w:val="44"/>
        </w:rPr>
        <w:t xml:space="preserve"> 评审办法（经评审的最低价法）</w:t>
      </w:r>
      <w:bookmarkEnd w:id="658"/>
      <w:bookmarkEnd w:id="668"/>
      <w:bookmarkEnd w:id="669"/>
      <w:bookmarkEnd w:id="670"/>
      <w:bookmarkEnd w:id="671"/>
      <w:bookmarkEnd w:id="672"/>
      <w:bookmarkEnd w:id="673"/>
      <w:bookmarkEnd w:id="674"/>
      <w:bookmarkEnd w:id="675"/>
    </w:p>
    <w:p w14:paraId="445D6A59">
      <w:pPr>
        <w:autoSpaceDE w:val="0"/>
        <w:autoSpaceDN w:val="0"/>
        <w:adjustRightInd w:val="0"/>
        <w:snapToGrid w:val="0"/>
        <w:spacing w:line="360" w:lineRule="auto"/>
        <w:jc w:val="center"/>
        <w:outlineLvl w:val="1"/>
        <w:rPr>
          <w:rFonts w:hint="eastAsia" w:ascii="宋体" w:hAnsi="宋体"/>
          <w:b/>
          <w:spacing w:val="1"/>
          <w:w w:val="99"/>
          <w:kern w:val="0"/>
          <w:sz w:val="28"/>
          <w:szCs w:val="32"/>
        </w:rPr>
      </w:pPr>
      <w:bookmarkStart w:id="676" w:name="_Toc12868"/>
      <w:bookmarkStart w:id="677" w:name="_Toc312326006"/>
      <w:bookmarkStart w:id="678" w:name="_Toc478841574"/>
      <w:bookmarkStart w:id="679" w:name="_Toc9969"/>
      <w:bookmarkStart w:id="680" w:name="_Toc148061395"/>
      <w:bookmarkStart w:id="681" w:name="_Toc310932700"/>
      <w:bookmarkStart w:id="682" w:name="_Toc7113"/>
      <w:bookmarkStart w:id="683" w:name="_Toc101780688"/>
      <w:bookmarkStart w:id="684" w:name="_Toc312326132"/>
      <w:bookmarkStart w:id="685" w:name="_Toc312325919"/>
      <w:bookmarkStart w:id="686" w:name="_Toc224103383"/>
      <w:bookmarkStart w:id="687" w:name="_Toc2544"/>
      <w:r>
        <w:rPr>
          <w:rFonts w:hint="eastAsia" w:ascii="宋体" w:hAnsi="宋体"/>
          <w:b/>
          <w:spacing w:val="1"/>
          <w:w w:val="99"/>
          <w:kern w:val="0"/>
          <w:sz w:val="28"/>
          <w:szCs w:val="32"/>
        </w:rPr>
        <w:t>评审办法前附表</w:t>
      </w:r>
      <w:bookmarkEnd w:id="676"/>
      <w:bookmarkEnd w:id="677"/>
      <w:bookmarkEnd w:id="678"/>
      <w:bookmarkEnd w:id="679"/>
      <w:bookmarkEnd w:id="680"/>
      <w:bookmarkEnd w:id="681"/>
      <w:bookmarkEnd w:id="682"/>
      <w:bookmarkEnd w:id="683"/>
      <w:bookmarkEnd w:id="684"/>
      <w:bookmarkEnd w:id="685"/>
      <w:bookmarkEnd w:id="686"/>
      <w:bookmarkEnd w:id="687"/>
    </w:p>
    <w:tbl>
      <w:tblPr>
        <w:tblStyle w:val="75"/>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
        <w:gridCol w:w="553"/>
        <w:gridCol w:w="851"/>
        <w:gridCol w:w="709"/>
        <w:gridCol w:w="1710"/>
        <w:gridCol w:w="5400"/>
      </w:tblGrid>
      <w:tr w14:paraId="69A09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2666" w:type="dxa"/>
            <w:gridSpan w:val="4"/>
          </w:tcPr>
          <w:p w14:paraId="4EC5B8FD">
            <w:pPr>
              <w:spacing w:line="420" w:lineRule="exact"/>
              <w:ind w:left="113" w:right="113"/>
              <w:jc w:val="center"/>
              <w:rPr>
                <w:rFonts w:hint="eastAsia" w:ascii="宋体" w:hAnsi="宋体" w:cs="宋体"/>
                <w:b/>
                <w:bCs/>
                <w:kern w:val="0"/>
              </w:rPr>
            </w:pPr>
            <w:bookmarkStart w:id="688" w:name="_Hlk151905344"/>
            <w:r>
              <w:rPr>
                <w:rFonts w:hint="eastAsia" w:ascii="宋体" w:hAnsi="宋体" w:cs="宋体"/>
                <w:b/>
                <w:bCs/>
                <w:kern w:val="0"/>
              </w:rPr>
              <w:t>条款号</w:t>
            </w:r>
          </w:p>
        </w:tc>
        <w:tc>
          <w:tcPr>
            <w:tcW w:w="1710" w:type="dxa"/>
            <w:vAlign w:val="center"/>
          </w:tcPr>
          <w:p w14:paraId="1256A7E4">
            <w:pPr>
              <w:spacing w:line="420" w:lineRule="exact"/>
              <w:jc w:val="center"/>
              <w:rPr>
                <w:rFonts w:hint="eastAsia" w:ascii="宋体" w:hAnsi="宋体" w:cs="宋体"/>
                <w:b/>
                <w:bCs/>
                <w:kern w:val="0"/>
              </w:rPr>
            </w:pPr>
            <w:r>
              <w:rPr>
                <w:rFonts w:hint="eastAsia" w:ascii="宋体" w:hAnsi="宋体" w:cs="宋体"/>
                <w:b/>
                <w:bCs/>
                <w:kern w:val="0"/>
              </w:rPr>
              <w:t>评审因素</w:t>
            </w:r>
          </w:p>
        </w:tc>
        <w:tc>
          <w:tcPr>
            <w:tcW w:w="5400" w:type="dxa"/>
            <w:vAlign w:val="center"/>
          </w:tcPr>
          <w:p w14:paraId="21739179">
            <w:pPr>
              <w:spacing w:line="420" w:lineRule="exact"/>
              <w:ind w:firstLine="422" w:firstLineChars="200"/>
              <w:jc w:val="center"/>
              <w:rPr>
                <w:rFonts w:hint="eastAsia" w:ascii="宋体" w:hAnsi="宋体" w:cs="宋体"/>
                <w:b/>
                <w:bCs/>
                <w:szCs w:val="21"/>
              </w:rPr>
            </w:pPr>
            <w:r>
              <w:rPr>
                <w:rFonts w:hint="eastAsia" w:ascii="宋体" w:hAnsi="宋体" w:cs="宋体"/>
                <w:b/>
                <w:bCs/>
                <w:szCs w:val="21"/>
              </w:rPr>
              <w:t>评审标准</w:t>
            </w:r>
          </w:p>
        </w:tc>
      </w:tr>
      <w:tr w14:paraId="0139C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553" w:type="dxa"/>
            <w:vMerge w:val="restart"/>
            <w:vAlign w:val="center"/>
          </w:tcPr>
          <w:p w14:paraId="51170733">
            <w:pPr>
              <w:spacing w:line="420" w:lineRule="exact"/>
              <w:jc w:val="center"/>
              <w:rPr>
                <w:rFonts w:hint="eastAsia" w:ascii="宋体" w:hAnsi="宋体" w:cs="宋体"/>
                <w:kern w:val="0"/>
              </w:rPr>
            </w:pPr>
            <w:r>
              <w:rPr>
                <w:rFonts w:hint="eastAsia" w:ascii="宋体" w:hAnsi="宋体" w:cs="宋体"/>
                <w:kern w:val="0"/>
              </w:rPr>
              <w:t>2</w:t>
            </w:r>
            <w:r>
              <w:rPr>
                <w:rFonts w:ascii="宋体" w:hAnsi="宋体" w:cs="宋体"/>
                <w:kern w:val="0"/>
              </w:rPr>
              <w:t>.1</w:t>
            </w:r>
          </w:p>
        </w:tc>
        <w:tc>
          <w:tcPr>
            <w:tcW w:w="553" w:type="dxa"/>
            <w:vMerge w:val="restart"/>
            <w:vAlign w:val="center"/>
          </w:tcPr>
          <w:p w14:paraId="7B7C0039">
            <w:pPr>
              <w:spacing w:line="420" w:lineRule="exact"/>
              <w:jc w:val="center"/>
              <w:rPr>
                <w:rFonts w:hint="eastAsia" w:ascii="宋体" w:hAnsi="宋体" w:cs="宋体"/>
                <w:kern w:val="0"/>
              </w:rPr>
            </w:pPr>
            <w:r>
              <w:rPr>
                <w:rFonts w:hint="eastAsia" w:ascii="宋体" w:hAnsi="宋体" w:cs="宋体"/>
                <w:kern w:val="0"/>
              </w:rPr>
              <w:t>初步评审标准</w:t>
            </w:r>
          </w:p>
        </w:tc>
        <w:tc>
          <w:tcPr>
            <w:tcW w:w="851" w:type="dxa"/>
            <w:vMerge w:val="restart"/>
            <w:vAlign w:val="center"/>
          </w:tcPr>
          <w:p w14:paraId="5F217C99">
            <w:pPr>
              <w:spacing w:line="420" w:lineRule="exact"/>
              <w:jc w:val="center"/>
              <w:rPr>
                <w:rFonts w:hint="eastAsia" w:ascii="宋体" w:hAnsi="宋体"/>
                <w:kern w:val="0"/>
              </w:rPr>
            </w:pPr>
            <w:r>
              <w:rPr>
                <w:rFonts w:ascii="宋体" w:hAnsi="宋体" w:cs="宋体"/>
                <w:kern w:val="0"/>
              </w:rPr>
              <w:t>2.1.1</w:t>
            </w:r>
          </w:p>
        </w:tc>
        <w:tc>
          <w:tcPr>
            <w:tcW w:w="709" w:type="dxa"/>
            <w:vMerge w:val="restart"/>
            <w:textDirection w:val="tbRlV"/>
            <w:vAlign w:val="center"/>
          </w:tcPr>
          <w:p w14:paraId="22B5D705">
            <w:pPr>
              <w:spacing w:line="420" w:lineRule="exact"/>
              <w:ind w:left="113" w:right="113"/>
              <w:jc w:val="center"/>
              <w:rPr>
                <w:rFonts w:hint="eastAsia" w:ascii="宋体" w:hAnsi="宋体"/>
                <w:kern w:val="0"/>
              </w:rPr>
            </w:pPr>
            <w:r>
              <w:rPr>
                <w:rFonts w:hint="eastAsia" w:ascii="宋体" w:hAnsi="宋体" w:cs="宋体"/>
                <w:kern w:val="0"/>
              </w:rPr>
              <w:t>形式评审标准</w:t>
            </w:r>
          </w:p>
        </w:tc>
        <w:tc>
          <w:tcPr>
            <w:tcW w:w="1710" w:type="dxa"/>
            <w:vAlign w:val="center"/>
          </w:tcPr>
          <w:p w14:paraId="3506A1B3">
            <w:pPr>
              <w:spacing w:line="420" w:lineRule="exact"/>
              <w:jc w:val="center"/>
              <w:rPr>
                <w:rFonts w:hint="eastAsia" w:ascii="宋体" w:hAnsi="宋体" w:cs="宋体"/>
                <w:kern w:val="0"/>
              </w:rPr>
            </w:pPr>
            <w:r>
              <w:rPr>
                <w:rFonts w:hint="eastAsia" w:ascii="宋体" w:hAnsi="宋体" w:cs="宋体"/>
                <w:kern w:val="0"/>
              </w:rPr>
              <w:t>比选供应商名称</w:t>
            </w:r>
          </w:p>
        </w:tc>
        <w:tc>
          <w:tcPr>
            <w:tcW w:w="5400" w:type="dxa"/>
            <w:vAlign w:val="center"/>
          </w:tcPr>
          <w:p w14:paraId="5A76236C">
            <w:pPr>
              <w:spacing w:line="420" w:lineRule="exact"/>
              <w:rPr>
                <w:rFonts w:hint="eastAsia" w:ascii="宋体" w:hAnsi="宋体" w:cs="宋体"/>
                <w:szCs w:val="21"/>
              </w:rPr>
            </w:pPr>
            <w:r>
              <w:rPr>
                <w:rFonts w:hint="eastAsia" w:ascii="宋体" w:hAnsi="宋体" w:cs="宋体"/>
                <w:szCs w:val="21"/>
              </w:rPr>
              <w:t>与营业执照</w:t>
            </w:r>
            <w:r>
              <w:rPr>
                <w:rFonts w:hint="eastAsia" w:ascii="宋体" w:hAnsi="宋体" w:cs="宋体"/>
                <w:kern w:val="0"/>
                <w:szCs w:val="21"/>
              </w:rPr>
              <w:t>或其他有效设立证明</w:t>
            </w:r>
            <w:r>
              <w:rPr>
                <w:rFonts w:hint="eastAsia" w:ascii="宋体" w:hAnsi="宋体" w:cs="宋体"/>
                <w:szCs w:val="21"/>
              </w:rPr>
              <w:t>及各相关证件名称一致。</w:t>
            </w:r>
          </w:p>
        </w:tc>
      </w:tr>
      <w:tr w14:paraId="01BE8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0" w:hRule="atLeast"/>
          <w:jc w:val="center"/>
        </w:trPr>
        <w:tc>
          <w:tcPr>
            <w:tcW w:w="553" w:type="dxa"/>
            <w:vMerge w:val="continue"/>
          </w:tcPr>
          <w:p w14:paraId="207EBF95">
            <w:pPr>
              <w:spacing w:line="420" w:lineRule="exact"/>
              <w:rPr>
                <w:rFonts w:hint="eastAsia" w:ascii="宋体" w:hAnsi="宋体"/>
              </w:rPr>
            </w:pPr>
          </w:p>
        </w:tc>
        <w:tc>
          <w:tcPr>
            <w:tcW w:w="553" w:type="dxa"/>
            <w:vMerge w:val="continue"/>
          </w:tcPr>
          <w:p w14:paraId="39888B80">
            <w:pPr>
              <w:spacing w:line="420" w:lineRule="exact"/>
              <w:rPr>
                <w:rFonts w:hint="eastAsia" w:ascii="宋体" w:hAnsi="宋体"/>
              </w:rPr>
            </w:pPr>
          </w:p>
        </w:tc>
        <w:tc>
          <w:tcPr>
            <w:tcW w:w="851" w:type="dxa"/>
            <w:vMerge w:val="continue"/>
          </w:tcPr>
          <w:p w14:paraId="465C80B5">
            <w:pPr>
              <w:spacing w:line="420" w:lineRule="exact"/>
              <w:rPr>
                <w:rFonts w:hint="eastAsia" w:ascii="宋体" w:hAnsi="宋体"/>
              </w:rPr>
            </w:pPr>
          </w:p>
        </w:tc>
        <w:tc>
          <w:tcPr>
            <w:tcW w:w="709" w:type="dxa"/>
            <w:vMerge w:val="continue"/>
          </w:tcPr>
          <w:p w14:paraId="65C281C2">
            <w:pPr>
              <w:spacing w:line="420" w:lineRule="exact"/>
              <w:rPr>
                <w:rFonts w:hint="eastAsia" w:ascii="宋体" w:hAnsi="宋体"/>
              </w:rPr>
            </w:pPr>
          </w:p>
        </w:tc>
        <w:tc>
          <w:tcPr>
            <w:tcW w:w="1710" w:type="dxa"/>
            <w:vAlign w:val="center"/>
          </w:tcPr>
          <w:p w14:paraId="71F8DFCB">
            <w:pPr>
              <w:spacing w:line="420" w:lineRule="exact"/>
              <w:jc w:val="center"/>
              <w:rPr>
                <w:rFonts w:hint="eastAsia" w:ascii="宋体" w:hAnsi="宋体" w:cs="宋体"/>
                <w:kern w:val="0"/>
              </w:rPr>
            </w:pPr>
            <w:r>
              <w:rPr>
                <w:rFonts w:hint="eastAsia" w:ascii="宋体" w:hAnsi="宋体" w:cs="宋体"/>
                <w:kern w:val="0"/>
              </w:rPr>
              <w:t>响应文件编制</w:t>
            </w:r>
          </w:p>
        </w:tc>
        <w:tc>
          <w:tcPr>
            <w:tcW w:w="5400" w:type="dxa"/>
            <w:vAlign w:val="center"/>
          </w:tcPr>
          <w:p w14:paraId="73AE534C">
            <w:pPr>
              <w:spacing w:line="420" w:lineRule="exact"/>
              <w:rPr>
                <w:rFonts w:hint="eastAsia" w:ascii="宋体" w:hAnsi="宋体" w:cs="宋体"/>
                <w:kern w:val="0"/>
              </w:rPr>
            </w:pPr>
            <w:bookmarkStart w:id="689" w:name="_Hlk159022033"/>
            <w:r>
              <w:rPr>
                <w:rFonts w:hint="eastAsia" w:ascii="宋体" w:hAnsi="宋体" w:cs="宋体"/>
                <w:kern w:val="0"/>
              </w:rPr>
              <w:t>响应</w:t>
            </w:r>
            <w:r>
              <w:rPr>
                <w:rFonts w:hint="eastAsia" w:ascii="宋体" w:hAnsi="宋体" w:cs="宋体"/>
                <w:szCs w:val="21"/>
              </w:rPr>
              <w:t>文件应按照比选文件规定编制，内容齐全，响应文件格式要求有法定代表人</w:t>
            </w:r>
            <w:r>
              <w:rPr>
                <w:rFonts w:hint="eastAsia" w:hAnsi="宋体" w:cs="宋体"/>
                <w:szCs w:val="21"/>
              </w:rPr>
              <w:t>（或单位负责人）</w:t>
            </w:r>
            <w:r>
              <w:rPr>
                <w:rFonts w:hint="eastAsia" w:ascii="宋体" w:hAnsi="宋体" w:cs="宋体"/>
                <w:szCs w:val="21"/>
              </w:rPr>
              <w:t>或其委托代理人签字的必须按规定要求签字，响应文件格式要求有</w:t>
            </w:r>
            <w:r>
              <w:rPr>
                <w:rFonts w:hint="eastAsia" w:ascii="宋体" w:hAnsi="宋体" w:cs="宋体"/>
                <w:kern w:val="0"/>
              </w:rPr>
              <w:t>比选供应商</w:t>
            </w:r>
            <w:r>
              <w:rPr>
                <w:rFonts w:hint="eastAsia" w:ascii="宋体" w:hAnsi="宋体" w:cs="宋体"/>
                <w:szCs w:val="21"/>
              </w:rPr>
              <w:t>盖章的，必须加盖鲜公章，签字盖章须符合第二章“</w:t>
            </w:r>
            <w:r>
              <w:rPr>
                <w:rFonts w:hint="eastAsia" w:ascii="宋体" w:hAnsi="宋体" w:cs="宋体"/>
                <w:kern w:val="0"/>
              </w:rPr>
              <w:t>比选供应商</w:t>
            </w:r>
            <w:r>
              <w:rPr>
                <w:rFonts w:hint="eastAsia" w:ascii="宋体" w:hAnsi="宋体" w:cs="宋体"/>
                <w:szCs w:val="21"/>
              </w:rPr>
              <w:t>须知前附表”第D</w:t>
            </w:r>
            <w:r>
              <w:rPr>
                <w:rFonts w:ascii="宋体" w:hAnsi="宋体" w:cs="宋体"/>
                <w:szCs w:val="21"/>
              </w:rPr>
              <w:t>.1</w:t>
            </w:r>
            <w:r>
              <w:rPr>
                <w:rFonts w:hint="eastAsia" w:ascii="宋体" w:hAnsi="宋体" w:cs="宋体"/>
                <w:szCs w:val="21"/>
              </w:rPr>
              <w:t>5.1条所列内容要求。</w:t>
            </w:r>
            <w:bookmarkEnd w:id="689"/>
          </w:p>
        </w:tc>
      </w:tr>
      <w:tr w14:paraId="6FF4F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553" w:type="dxa"/>
            <w:vMerge w:val="continue"/>
          </w:tcPr>
          <w:p w14:paraId="04872ED5">
            <w:pPr>
              <w:spacing w:line="420" w:lineRule="exact"/>
              <w:rPr>
                <w:rFonts w:hint="eastAsia" w:ascii="宋体" w:hAnsi="宋体"/>
              </w:rPr>
            </w:pPr>
          </w:p>
        </w:tc>
        <w:tc>
          <w:tcPr>
            <w:tcW w:w="553" w:type="dxa"/>
            <w:vMerge w:val="continue"/>
          </w:tcPr>
          <w:p w14:paraId="511C572E">
            <w:pPr>
              <w:spacing w:line="420" w:lineRule="exact"/>
              <w:rPr>
                <w:rFonts w:hint="eastAsia" w:ascii="宋体" w:hAnsi="宋体"/>
              </w:rPr>
            </w:pPr>
          </w:p>
        </w:tc>
        <w:tc>
          <w:tcPr>
            <w:tcW w:w="851" w:type="dxa"/>
            <w:vMerge w:val="continue"/>
          </w:tcPr>
          <w:p w14:paraId="47495A37">
            <w:pPr>
              <w:spacing w:line="420" w:lineRule="exact"/>
              <w:rPr>
                <w:rFonts w:hint="eastAsia" w:ascii="宋体" w:hAnsi="宋体"/>
              </w:rPr>
            </w:pPr>
          </w:p>
        </w:tc>
        <w:tc>
          <w:tcPr>
            <w:tcW w:w="709" w:type="dxa"/>
            <w:vMerge w:val="continue"/>
          </w:tcPr>
          <w:p w14:paraId="6416CAB7">
            <w:pPr>
              <w:spacing w:line="420" w:lineRule="exact"/>
              <w:rPr>
                <w:rFonts w:hint="eastAsia" w:ascii="宋体" w:hAnsi="宋体"/>
              </w:rPr>
            </w:pPr>
          </w:p>
        </w:tc>
        <w:tc>
          <w:tcPr>
            <w:tcW w:w="1710" w:type="dxa"/>
            <w:vAlign w:val="center"/>
          </w:tcPr>
          <w:p w14:paraId="596BCD68">
            <w:pPr>
              <w:spacing w:line="420" w:lineRule="exact"/>
              <w:jc w:val="center"/>
              <w:rPr>
                <w:rFonts w:hint="eastAsia" w:ascii="宋体" w:hAnsi="宋体" w:cs="宋体"/>
                <w:kern w:val="0"/>
              </w:rPr>
            </w:pPr>
            <w:r>
              <w:rPr>
                <w:rFonts w:hint="eastAsia" w:ascii="宋体" w:hAnsi="宋体" w:cs="宋体"/>
                <w:kern w:val="0"/>
              </w:rPr>
              <w:t>响应文件格式</w:t>
            </w:r>
          </w:p>
        </w:tc>
        <w:tc>
          <w:tcPr>
            <w:tcW w:w="5400" w:type="dxa"/>
          </w:tcPr>
          <w:p w14:paraId="17B40373">
            <w:pPr>
              <w:spacing w:before="120" w:beforeLines="50" w:line="420" w:lineRule="exact"/>
              <w:ind w:left="2" w:hanging="2" w:hangingChars="1"/>
              <w:rPr>
                <w:rFonts w:hint="eastAsia" w:ascii="宋体" w:hAnsi="宋体" w:cs="宋体"/>
                <w:kern w:val="0"/>
              </w:rPr>
            </w:pPr>
            <w:r>
              <w:rPr>
                <w:rFonts w:hint="eastAsia" w:ascii="宋体" w:hAnsi="宋体" w:cs="宋体"/>
                <w:kern w:val="0"/>
              </w:rPr>
              <w:t>符合第六章“响应文件格式”的要求，字迹清晰可辨。</w:t>
            </w:r>
          </w:p>
        </w:tc>
      </w:tr>
      <w:tr w14:paraId="0B534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553" w:type="dxa"/>
            <w:vMerge w:val="continue"/>
          </w:tcPr>
          <w:p w14:paraId="24ECA993">
            <w:pPr>
              <w:spacing w:line="420" w:lineRule="exact"/>
              <w:rPr>
                <w:rFonts w:hint="eastAsia" w:ascii="宋体" w:hAnsi="宋体"/>
              </w:rPr>
            </w:pPr>
          </w:p>
        </w:tc>
        <w:tc>
          <w:tcPr>
            <w:tcW w:w="553" w:type="dxa"/>
            <w:vMerge w:val="continue"/>
          </w:tcPr>
          <w:p w14:paraId="2632275F">
            <w:pPr>
              <w:spacing w:line="420" w:lineRule="exact"/>
              <w:rPr>
                <w:rFonts w:hint="eastAsia" w:ascii="宋体" w:hAnsi="宋体"/>
              </w:rPr>
            </w:pPr>
          </w:p>
        </w:tc>
        <w:tc>
          <w:tcPr>
            <w:tcW w:w="851" w:type="dxa"/>
            <w:vMerge w:val="continue"/>
          </w:tcPr>
          <w:p w14:paraId="6D1D3F7A">
            <w:pPr>
              <w:spacing w:line="420" w:lineRule="exact"/>
              <w:rPr>
                <w:rFonts w:hint="eastAsia" w:ascii="宋体" w:hAnsi="宋体"/>
              </w:rPr>
            </w:pPr>
          </w:p>
        </w:tc>
        <w:tc>
          <w:tcPr>
            <w:tcW w:w="709" w:type="dxa"/>
            <w:vMerge w:val="continue"/>
          </w:tcPr>
          <w:p w14:paraId="16190E9A">
            <w:pPr>
              <w:spacing w:line="420" w:lineRule="exact"/>
              <w:rPr>
                <w:rFonts w:hint="eastAsia" w:ascii="宋体" w:hAnsi="宋体"/>
              </w:rPr>
            </w:pPr>
          </w:p>
        </w:tc>
        <w:tc>
          <w:tcPr>
            <w:tcW w:w="1710" w:type="dxa"/>
            <w:vAlign w:val="center"/>
          </w:tcPr>
          <w:p w14:paraId="5A51F758">
            <w:pPr>
              <w:spacing w:line="420" w:lineRule="exact"/>
              <w:jc w:val="center"/>
              <w:rPr>
                <w:rFonts w:hint="eastAsia" w:ascii="宋体" w:hAnsi="宋体" w:cs="宋体"/>
                <w:szCs w:val="21"/>
              </w:rPr>
            </w:pPr>
            <w:r>
              <w:rPr>
                <w:rFonts w:hint="eastAsia" w:ascii="宋体" w:hAnsi="宋体"/>
                <w:szCs w:val="21"/>
              </w:rPr>
              <w:t>响应文件的</w:t>
            </w:r>
            <w:r>
              <w:rPr>
                <w:rFonts w:hint="eastAsia" w:ascii="宋体" w:hAnsi="宋体"/>
                <w:kern w:val="0"/>
                <w:szCs w:val="21"/>
              </w:rPr>
              <w:t>份数</w:t>
            </w:r>
          </w:p>
        </w:tc>
        <w:tc>
          <w:tcPr>
            <w:tcW w:w="5400" w:type="dxa"/>
            <w:vAlign w:val="center"/>
          </w:tcPr>
          <w:p w14:paraId="158ADD2A">
            <w:pPr>
              <w:spacing w:line="420" w:lineRule="exact"/>
              <w:ind w:left="2" w:hanging="2" w:hangingChars="1"/>
              <w:rPr>
                <w:rFonts w:hint="eastAsia" w:ascii="宋体" w:hAnsi="宋体" w:cs="宋体"/>
                <w:szCs w:val="21"/>
              </w:rPr>
            </w:pPr>
            <w:r>
              <w:rPr>
                <w:rFonts w:hint="eastAsia" w:ascii="宋体" w:hAnsi="宋体" w:cs="宋体"/>
                <w:szCs w:val="21"/>
              </w:rPr>
              <w:t>符合比选文件第二章“</w:t>
            </w:r>
            <w:r>
              <w:rPr>
                <w:rFonts w:hint="eastAsia" w:ascii="宋体" w:hAnsi="宋体" w:cs="宋体"/>
                <w:kern w:val="0"/>
              </w:rPr>
              <w:t>比选供应商</w:t>
            </w:r>
            <w:r>
              <w:rPr>
                <w:rFonts w:hint="eastAsia" w:ascii="宋体" w:hAnsi="宋体" w:cs="宋体"/>
                <w:szCs w:val="21"/>
              </w:rPr>
              <w:t>须知前附表”</w:t>
            </w:r>
            <w:r>
              <w:rPr>
                <w:rFonts w:hint="eastAsia" w:ascii="宋体" w:hAnsi="宋体"/>
                <w:szCs w:val="21"/>
              </w:rPr>
              <w:t>C.14.3项</w:t>
            </w:r>
            <w:r>
              <w:rPr>
                <w:rFonts w:hint="eastAsia" w:ascii="宋体" w:hAnsi="宋体" w:cs="宋体"/>
                <w:szCs w:val="21"/>
              </w:rPr>
              <w:t>所列内容。</w:t>
            </w:r>
          </w:p>
        </w:tc>
      </w:tr>
      <w:tr w14:paraId="7B4BA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53" w:type="dxa"/>
            <w:vMerge w:val="continue"/>
          </w:tcPr>
          <w:p w14:paraId="13EB54DF">
            <w:pPr>
              <w:spacing w:line="420" w:lineRule="exact"/>
              <w:rPr>
                <w:rFonts w:hint="eastAsia" w:ascii="宋体" w:hAnsi="宋体"/>
              </w:rPr>
            </w:pPr>
          </w:p>
        </w:tc>
        <w:tc>
          <w:tcPr>
            <w:tcW w:w="553" w:type="dxa"/>
            <w:vMerge w:val="continue"/>
          </w:tcPr>
          <w:p w14:paraId="46239D8B">
            <w:pPr>
              <w:spacing w:line="420" w:lineRule="exact"/>
              <w:rPr>
                <w:rFonts w:hint="eastAsia" w:ascii="宋体" w:hAnsi="宋体"/>
              </w:rPr>
            </w:pPr>
          </w:p>
        </w:tc>
        <w:tc>
          <w:tcPr>
            <w:tcW w:w="851" w:type="dxa"/>
            <w:vMerge w:val="continue"/>
          </w:tcPr>
          <w:p w14:paraId="5F5FAF9E">
            <w:pPr>
              <w:spacing w:line="420" w:lineRule="exact"/>
              <w:rPr>
                <w:rFonts w:hint="eastAsia" w:ascii="宋体" w:hAnsi="宋体"/>
              </w:rPr>
            </w:pPr>
          </w:p>
        </w:tc>
        <w:tc>
          <w:tcPr>
            <w:tcW w:w="709" w:type="dxa"/>
            <w:vMerge w:val="continue"/>
          </w:tcPr>
          <w:p w14:paraId="74E11D3B">
            <w:pPr>
              <w:spacing w:line="420" w:lineRule="exact"/>
              <w:rPr>
                <w:rFonts w:hint="eastAsia" w:ascii="宋体" w:hAnsi="宋体"/>
              </w:rPr>
            </w:pPr>
          </w:p>
        </w:tc>
        <w:tc>
          <w:tcPr>
            <w:tcW w:w="1710" w:type="dxa"/>
            <w:vAlign w:val="center"/>
          </w:tcPr>
          <w:p w14:paraId="7B2B62A8">
            <w:pPr>
              <w:spacing w:line="420" w:lineRule="exact"/>
              <w:jc w:val="center"/>
              <w:rPr>
                <w:rFonts w:hint="eastAsia" w:ascii="宋体" w:hAnsi="宋体" w:cs="宋体"/>
                <w:kern w:val="0"/>
              </w:rPr>
            </w:pPr>
            <w:r>
              <w:rPr>
                <w:rFonts w:hint="eastAsia" w:ascii="宋体" w:hAnsi="宋体"/>
              </w:rPr>
              <w:t>法定代表人或委托代理人</w:t>
            </w:r>
          </w:p>
        </w:tc>
        <w:tc>
          <w:tcPr>
            <w:tcW w:w="5400" w:type="dxa"/>
          </w:tcPr>
          <w:p w14:paraId="4A74BB8B">
            <w:pPr>
              <w:adjustRightInd w:val="0"/>
              <w:snapToGrid w:val="0"/>
              <w:spacing w:line="440" w:lineRule="atLeast"/>
              <w:rPr>
                <w:rFonts w:hint="eastAsia" w:ascii="宋体" w:hAnsi="宋体" w:cs="宋体"/>
                <w:kern w:val="0"/>
              </w:rPr>
            </w:pPr>
            <w:r>
              <w:rPr>
                <w:rFonts w:hint="eastAsia" w:ascii="宋体" w:hAnsi="宋体" w:cs="宋体"/>
                <w:kern w:val="0"/>
              </w:rPr>
              <w:t>比选供应商</w:t>
            </w:r>
            <w:r>
              <w:rPr>
                <w:rFonts w:ascii="宋体" w:hAnsi="宋体"/>
              </w:rPr>
              <w:t>法定代表人的委托代理人有法定代表人签署的授权委托书，且其授权委托书符合</w:t>
            </w:r>
            <w:r>
              <w:rPr>
                <w:rFonts w:hint="eastAsia" w:ascii="宋体" w:hAnsi="宋体"/>
              </w:rPr>
              <w:t>比选</w:t>
            </w:r>
            <w:r>
              <w:rPr>
                <w:rFonts w:ascii="宋体" w:hAnsi="宋体"/>
              </w:rPr>
              <w:t>文件规定的格式。</w:t>
            </w:r>
          </w:p>
        </w:tc>
      </w:tr>
      <w:tr w14:paraId="5B513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7" w:hRule="atLeast"/>
          <w:jc w:val="center"/>
        </w:trPr>
        <w:tc>
          <w:tcPr>
            <w:tcW w:w="553" w:type="dxa"/>
            <w:vMerge w:val="continue"/>
          </w:tcPr>
          <w:p w14:paraId="217A9FEA">
            <w:pPr>
              <w:spacing w:line="420" w:lineRule="exact"/>
              <w:jc w:val="center"/>
              <w:rPr>
                <w:rFonts w:hint="eastAsia" w:ascii="宋体" w:hAnsi="宋体" w:cs="宋体"/>
                <w:kern w:val="0"/>
              </w:rPr>
            </w:pPr>
          </w:p>
        </w:tc>
        <w:tc>
          <w:tcPr>
            <w:tcW w:w="553" w:type="dxa"/>
            <w:vMerge w:val="continue"/>
          </w:tcPr>
          <w:p w14:paraId="78558A2E">
            <w:pPr>
              <w:spacing w:line="420" w:lineRule="exact"/>
              <w:jc w:val="center"/>
              <w:rPr>
                <w:rFonts w:hint="eastAsia" w:ascii="宋体" w:hAnsi="宋体" w:cs="宋体"/>
                <w:kern w:val="0"/>
              </w:rPr>
            </w:pPr>
          </w:p>
        </w:tc>
        <w:tc>
          <w:tcPr>
            <w:tcW w:w="851" w:type="dxa"/>
            <w:vMerge w:val="restart"/>
            <w:vAlign w:val="center"/>
          </w:tcPr>
          <w:p w14:paraId="04A2ED11">
            <w:pPr>
              <w:spacing w:line="420" w:lineRule="exact"/>
              <w:jc w:val="center"/>
              <w:rPr>
                <w:rFonts w:hint="eastAsia" w:ascii="宋体" w:hAnsi="宋体" w:cs="宋体"/>
                <w:kern w:val="0"/>
              </w:rPr>
            </w:pPr>
            <w:r>
              <w:rPr>
                <w:rFonts w:ascii="宋体" w:hAnsi="宋体" w:cs="宋体"/>
                <w:kern w:val="0"/>
              </w:rPr>
              <w:t>2.1.2</w:t>
            </w:r>
          </w:p>
        </w:tc>
        <w:tc>
          <w:tcPr>
            <w:tcW w:w="709" w:type="dxa"/>
            <w:vMerge w:val="restart"/>
            <w:textDirection w:val="tbRlV"/>
            <w:vAlign w:val="center"/>
          </w:tcPr>
          <w:p w14:paraId="796D5D72">
            <w:pPr>
              <w:spacing w:line="420" w:lineRule="exact"/>
              <w:ind w:left="113" w:right="113"/>
              <w:jc w:val="center"/>
              <w:rPr>
                <w:rFonts w:hint="eastAsia" w:ascii="宋体" w:hAnsi="宋体" w:cs="宋体"/>
                <w:kern w:val="0"/>
              </w:rPr>
            </w:pPr>
            <w:r>
              <w:rPr>
                <w:rFonts w:hint="eastAsia" w:ascii="宋体" w:hAnsi="宋体" w:cs="宋体"/>
                <w:kern w:val="0"/>
              </w:rPr>
              <w:t>资格评审标准</w:t>
            </w:r>
          </w:p>
        </w:tc>
        <w:tc>
          <w:tcPr>
            <w:tcW w:w="1710" w:type="dxa"/>
            <w:vAlign w:val="center"/>
          </w:tcPr>
          <w:p w14:paraId="73A6C80F">
            <w:pPr>
              <w:spacing w:line="420" w:lineRule="exact"/>
              <w:jc w:val="center"/>
              <w:rPr>
                <w:rFonts w:hint="eastAsia" w:ascii="宋体" w:hAnsi="宋体" w:cs="宋体"/>
                <w:kern w:val="0"/>
              </w:rPr>
            </w:pPr>
            <w:r>
              <w:rPr>
                <w:rFonts w:hint="eastAsia" w:ascii="宋体" w:hAnsi="宋体" w:cs="宋体"/>
                <w:kern w:val="0"/>
              </w:rPr>
              <w:t>营业执照</w:t>
            </w:r>
            <w:r>
              <w:rPr>
                <w:rFonts w:hint="eastAsia" w:ascii="宋体" w:hAnsi="宋体" w:cs="宋体"/>
                <w:kern w:val="0"/>
                <w:szCs w:val="21"/>
              </w:rPr>
              <w:t>或其他有效设立证明</w:t>
            </w:r>
          </w:p>
        </w:tc>
        <w:tc>
          <w:tcPr>
            <w:tcW w:w="5400" w:type="dxa"/>
            <w:vAlign w:val="center"/>
          </w:tcPr>
          <w:p w14:paraId="6055EC25">
            <w:pPr>
              <w:spacing w:line="420" w:lineRule="exact"/>
              <w:rPr>
                <w:rFonts w:hint="eastAsia" w:ascii="宋体" w:hAnsi="宋体" w:cs="宋体"/>
                <w:kern w:val="0"/>
              </w:rPr>
            </w:pPr>
            <w:r>
              <w:rPr>
                <w:rFonts w:hint="eastAsia" w:ascii="宋体" w:hAnsi="宋体" w:cs="宋体"/>
                <w:kern w:val="0"/>
              </w:rPr>
              <w:t>具备有效的营业执照</w:t>
            </w:r>
            <w:r>
              <w:rPr>
                <w:rFonts w:hint="eastAsia" w:ascii="宋体" w:hAnsi="宋体" w:cs="宋体"/>
                <w:kern w:val="0"/>
                <w:szCs w:val="21"/>
              </w:rPr>
              <w:t>或其他有效设立证明，</w:t>
            </w:r>
            <w:r>
              <w:rPr>
                <w:rFonts w:hint="eastAsia" w:ascii="宋体" w:hAnsi="宋体" w:cs="宋体"/>
                <w:kern w:val="0"/>
              </w:rPr>
              <w:t>且符合第二章</w:t>
            </w:r>
            <w:r>
              <w:rPr>
                <w:rFonts w:hint="eastAsia" w:ascii="宋体" w:hAnsi="宋体" w:cs="宋体"/>
                <w:szCs w:val="21"/>
              </w:rPr>
              <w:t>“</w:t>
            </w:r>
            <w:r>
              <w:rPr>
                <w:rFonts w:hint="eastAsia" w:ascii="宋体" w:hAnsi="宋体" w:cs="宋体"/>
                <w:kern w:val="0"/>
              </w:rPr>
              <w:t>比选供应商</w:t>
            </w:r>
            <w:r>
              <w:rPr>
                <w:rFonts w:hint="eastAsia" w:ascii="宋体" w:hAnsi="宋体" w:cs="宋体"/>
                <w:szCs w:val="21"/>
              </w:rPr>
              <w:t>须知前附表”A.2.5条所列内容。</w:t>
            </w:r>
          </w:p>
        </w:tc>
      </w:tr>
      <w:tr w14:paraId="4270A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jc w:val="center"/>
        </w:trPr>
        <w:tc>
          <w:tcPr>
            <w:tcW w:w="553" w:type="dxa"/>
            <w:vMerge w:val="continue"/>
          </w:tcPr>
          <w:p w14:paraId="566A6B4E">
            <w:pPr>
              <w:spacing w:line="420" w:lineRule="exact"/>
              <w:rPr>
                <w:rFonts w:hint="eastAsia" w:ascii="宋体" w:hAnsi="宋体"/>
              </w:rPr>
            </w:pPr>
          </w:p>
        </w:tc>
        <w:tc>
          <w:tcPr>
            <w:tcW w:w="553" w:type="dxa"/>
            <w:vMerge w:val="continue"/>
          </w:tcPr>
          <w:p w14:paraId="4BA36FEB">
            <w:pPr>
              <w:spacing w:line="420" w:lineRule="exact"/>
              <w:rPr>
                <w:rFonts w:hint="eastAsia" w:ascii="宋体" w:hAnsi="宋体"/>
              </w:rPr>
            </w:pPr>
          </w:p>
        </w:tc>
        <w:tc>
          <w:tcPr>
            <w:tcW w:w="851" w:type="dxa"/>
            <w:vMerge w:val="continue"/>
          </w:tcPr>
          <w:p w14:paraId="58096961">
            <w:pPr>
              <w:spacing w:line="420" w:lineRule="exact"/>
              <w:rPr>
                <w:rFonts w:hint="eastAsia" w:ascii="宋体" w:hAnsi="宋体"/>
              </w:rPr>
            </w:pPr>
          </w:p>
        </w:tc>
        <w:tc>
          <w:tcPr>
            <w:tcW w:w="709" w:type="dxa"/>
            <w:vMerge w:val="continue"/>
          </w:tcPr>
          <w:p w14:paraId="7C1C945D">
            <w:pPr>
              <w:spacing w:line="420" w:lineRule="exact"/>
              <w:rPr>
                <w:rFonts w:hint="eastAsia" w:ascii="宋体" w:hAnsi="宋体"/>
              </w:rPr>
            </w:pPr>
          </w:p>
        </w:tc>
        <w:tc>
          <w:tcPr>
            <w:tcW w:w="1710" w:type="dxa"/>
            <w:vAlign w:val="center"/>
          </w:tcPr>
          <w:p w14:paraId="6F74A3BA">
            <w:pPr>
              <w:spacing w:line="420" w:lineRule="exact"/>
              <w:jc w:val="center"/>
              <w:rPr>
                <w:rFonts w:hint="eastAsia" w:ascii="宋体" w:hAnsi="宋体" w:cs="宋体"/>
                <w:kern w:val="0"/>
              </w:rPr>
            </w:pPr>
            <w:r>
              <w:rPr>
                <w:rFonts w:hint="eastAsia" w:ascii="宋体" w:hAnsi="宋体" w:cs="宋体"/>
                <w:kern w:val="0"/>
              </w:rPr>
              <w:t>业绩要求</w:t>
            </w:r>
          </w:p>
        </w:tc>
        <w:tc>
          <w:tcPr>
            <w:tcW w:w="5400" w:type="dxa"/>
            <w:vAlign w:val="center"/>
          </w:tcPr>
          <w:p w14:paraId="68B9FECB">
            <w:pPr>
              <w:spacing w:line="420" w:lineRule="exact"/>
              <w:rPr>
                <w:rFonts w:hint="eastAsia" w:ascii="宋体" w:hAnsi="宋体" w:cs="宋体"/>
                <w:kern w:val="0"/>
              </w:rPr>
            </w:pPr>
            <w:r>
              <w:rPr>
                <w:rFonts w:hint="eastAsia" w:ascii="宋体" w:hAnsi="宋体" w:cs="宋体"/>
                <w:szCs w:val="21"/>
              </w:rPr>
              <w:t>符合比选文件第二章“</w:t>
            </w:r>
            <w:r>
              <w:rPr>
                <w:rFonts w:hint="eastAsia" w:ascii="宋体" w:hAnsi="宋体" w:cs="宋体"/>
                <w:kern w:val="0"/>
              </w:rPr>
              <w:t>比选供应商</w:t>
            </w:r>
            <w:r>
              <w:rPr>
                <w:rFonts w:hint="eastAsia" w:ascii="宋体" w:hAnsi="宋体" w:cs="宋体"/>
                <w:szCs w:val="21"/>
              </w:rPr>
              <w:t>须知前附表”A.2.5条所列内容。</w:t>
            </w:r>
          </w:p>
        </w:tc>
      </w:tr>
      <w:tr w14:paraId="10B16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8" w:hRule="atLeast"/>
          <w:jc w:val="center"/>
        </w:trPr>
        <w:tc>
          <w:tcPr>
            <w:tcW w:w="553" w:type="dxa"/>
            <w:vMerge w:val="continue"/>
          </w:tcPr>
          <w:p w14:paraId="76791F31">
            <w:pPr>
              <w:spacing w:line="420" w:lineRule="exact"/>
              <w:rPr>
                <w:rFonts w:hint="eastAsia" w:ascii="宋体" w:hAnsi="宋体"/>
              </w:rPr>
            </w:pPr>
          </w:p>
        </w:tc>
        <w:tc>
          <w:tcPr>
            <w:tcW w:w="553" w:type="dxa"/>
            <w:vMerge w:val="continue"/>
          </w:tcPr>
          <w:p w14:paraId="1FAE867A">
            <w:pPr>
              <w:spacing w:line="420" w:lineRule="exact"/>
              <w:rPr>
                <w:rFonts w:hint="eastAsia" w:ascii="宋体" w:hAnsi="宋体"/>
              </w:rPr>
            </w:pPr>
          </w:p>
        </w:tc>
        <w:tc>
          <w:tcPr>
            <w:tcW w:w="851" w:type="dxa"/>
            <w:vMerge w:val="continue"/>
          </w:tcPr>
          <w:p w14:paraId="0569AA8D">
            <w:pPr>
              <w:spacing w:line="420" w:lineRule="exact"/>
              <w:rPr>
                <w:rFonts w:hint="eastAsia" w:ascii="宋体" w:hAnsi="宋体"/>
              </w:rPr>
            </w:pPr>
          </w:p>
        </w:tc>
        <w:tc>
          <w:tcPr>
            <w:tcW w:w="709" w:type="dxa"/>
            <w:vMerge w:val="continue"/>
          </w:tcPr>
          <w:p w14:paraId="41C0877D">
            <w:pPr>
              <w:spacing w:line="420" w:lineRule="exact"/>
              <w:rPr>
                <w:rFonts w:hint="eastAsia" w:ascii="宋体" w:hAnsi="宋体"/>
              </w:rPr>
            </w:pPr>
          </w:p>
        </w:tc>
        <w:tc>
          <w:tcPr>
            <w:tcW w:w="1710" w:type="dxa"/>
            <w:vAlign w:val="center"/>
          </w:tcPr>
          <w:p w14:paraId="121A9CF5">
            <w:pPr>
              <w:spacing w:line="420" w:lineRule="exact"/>
              <w:jc w:val="center"/>
              <w:rPr>
                <w:rFonts w:hint="eastAsia" w:ascii="宋体" w:hAnsi="宋体"/>
                <w:kern w:val="0"/>
                <w:szCs w:val="21"/>
              </w:rPr>
            </w:pPr>
            <w:r>
              <w:rPr>
                <w:rFonts w:hint="eastAsia" w:ascii="宋体" w:hAnsi="宋体"/>
                <w:kern w:val="0"/>
                <w:szCs w:val="21"/>
              </w:rPr>
              <w:t>信誉要求</w:t>
            </w:r>
          </w:p>
        </w:tc>
        <w:tc>
          <w:tcPr>
            <w:tcW w:w="5400" w:type="dxa"/>
            <w:vAlign w:val="center"/>
          </w:tcPr>
          <w:p w14:paraId="22040E9D">
            <w:pPr>
              <w:spacing w:line="420" w:lineRule="exact"/>
              <w:rPr>
                <w:rFonts w:hint="eastAsia" w:ascii="宋体" w:hAnsi="宋体" w:cs="宋体"/>
                <w:szCs w:val="21"/>
              </w:rPr>
            </w:pPr>
            <w:r>
              <w:rPr>
                <w:rFonts w:hint="eastAsia" w:ascii="宋体" w:hAnsi="宋体" w:cs="宋体"/>
                <w:szCs w:val="21"/>
              </w:rPr>
              <w:t>符合比选文件第二章“</w:t>
            </w:r>
            <w:r>
              <w:rPr>
                <w:rFonts w:hint="eastAsia" w:ascii="宋体" w:hAnsi="宋体" w:cs="宋体"/>
                <w:kern w:val="0"/>
              </w:rPr>
              <w:t>比选供应商</w:t>
            </w:r>
            <w:r>
              <w:rPr>
                <w:rFonts w:hint="eastAsia" w:ascii="宋体" w:hAnsi="宋体" w:cs="宋体"/>
                <w:szCs w:val="21"/>
              </w:rPr>
              <w:t>须知前附表”A.2.5条所列内容。</w:t>
            </w:r>
          </w:p>
        </w:tc>
      </w:tr>
      <w:tr w14:paraId="6EA2B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7" w:hRule="atLeast"/>
          <w:jc w:val="center"/>
        </w:trPr>
        <w:tc>
          <w:tcPr>
            <w:tcW w:w="553" w:type="dxa"/>
            <w:vMerge w:val="continue"/>
          </w:tcPr>
          <w:p w14:paraId="018693EF">
            <w:pPr>
              <w:spacing w:line="420" w:lineRule="exact"/>
              <w:jc w:val="center"/>
              <w:rPr>
                <w:rFonts w:hint="eastAsia" w:ascii="宋体" w:hAnsi="宋体" w:cs="宋体"/>
                <w:kern w:val="0"/>
              </w:rPr>
            </w:pPr>
          </w:p>
        </w:tc>
        <w:tc>
          <w:tcPr>
            <w:tcW w:w="553" w:type="dxa"/>
            <w:vMerge w:val="continue"/>
          </w:tcPr>
          <w:p w14:paraId="22E5DEB7">
            <w:pPr>
              <w:spacing w:line="420" w:lineRule="exact"/>
              <w:jc w:val="center"/>
              <w:rPr>
                <w:rFonts w:hint="eastAsia" w:ascii="宋体" w:hAnsi="宋体" w:cs="宋体"/>
                <w:kern w:val="0"/>
              </w:rPr>
            </w:pPr>
          </w:p>
        </w:tc>
        <w:tc>
          <w:tcPr>
            <w:tcW w:w="851" w:type="dxa"/>
            <w:vMerge w:val="restart"/>
            <w:vAlign w:val="center"/>
          </w:tcPr>
          <w:p w14:paraId="679DD05F">
            <w:pPr>
              <w:spacing w:line="420" w:lineRule="exact"/>
              <w:jc w:val="center"/>
              <w:rPr>
                <w:rFonts w:hint="eastAsia" w:ascii="宋体" w:hAnsi="宋体" w:cs="宋体"/>
              </w:rPr>
            </w:pPr>
            <w:r>
              <w:rPr>
                <w:rFonts w:ascii="宋体" w:hAnsi="宋体" w:cs="宋体"/>
                <w:kern w:val="0"/>
              </w:rPr>
              <w:t>2.1.3</w:t>
            </w:r>
          </w:p>
        </w:tc>
        <w:tc>
          <w:tcPr>
            <w:tcW w:w="709" w:type="dxa"/>
            <w:vMerge w:val="restart"/>
            <w:textDirection w:val="tbRlV"/>
            <w:vAlign w:val="center"/>
          </w:tcPr>
          <w:p w14:paraId="2C4FB334">
            <w:pPr>
              <w:spacing w:line="420" w:lineRule="exact"/>
              <w:ind w:left="113" w:right="113"/>
              <w:jc w:val="center"/>
              <w:rPr>
                <w:rFonts w:hint="eastAsia" w:ascii="宋体" w:hAnsi="宋体" w:cs="宋体"/>
              </w:rPr>
            </w:pPr>
            <w:r>
              <w:rPr>
                <w:rFonts w:hint="eastAsia" w:ascii="宋体" w:hAnsi="宋体" w:cs="宋体"/>
                <w:kern w:val="0"/>
              </w:rPr>
              <w:t>响应性评审标准</w:t>
            </w:r>
          </w:p>
        </w:tc>
        <w:tc>
          <w:tcPr>
            <w:tcW w:w="1710" w:type="dxa"/>
            <w:vAlign w:val="center"/>
          </w:tcPr>
          <w:p w14:paraId="089A963B">
            <w:pPr>
              <w:spacing w:line="420" w:lineRule="exact"/>
              <w:jc w:val="center"/>
              <w:rPr>
                <w:rFonts w:hint="eastAsia" w:ascii="宋体" w:hAnsi="宋体" w:cs="宋体"/>
                <w:kern w:val="0"/>
              </w:rPr>
            </w:pPr>
            <w:r>
              <w:rPr>
                <w:rFonts w:hint="eastAsia" w:ascii="宋体" w:hAnsi="宋体" w:cs="宋体"/>
                <w:kern w:val="0"/>
              </w:rPr>
              <w:t>响应内容</w:t>
            </w:r>
          </w:p>
        </w:tc>
        <w:tc>
          <w:tcPr>
            <w:tcW w:w="5400" w:type="dxa"/>
            <w:vAlign w:val="center"/>
          </w:tcPr>
          <w:p w14:paraId="2D81FBB9">
            <w:pPr>
              <w:spacing w:line="420" w:lineRule="exact"/>
              <w:jc w:val="left"/>
              <w:rPr>
                <w:rFonts w:hint="eastAsia" w:ascii="宋体" w:hAnsi="宋体" w:cs="宋体"/>
                <w:kern w:val="0"/>
              </w:rPr>
            </w:pPr>
            <w:r>
              <w:rPr>
                <w:rFonts w:hint="eastAsia" w:ascii="宋体" w:hAnsi="宋体" w:cs="宋体"/>
                <w:kern w:val="0"/>
              </w:rPr>
              <w:t>符合第二章“比选供应商须知”第</w:t>
            </w:r>
            <w:r>
              <w:rPr>
                <w:rFonts w:ascii="宋体" w:hAnsi="宋体" w:cs="宋体"/>
                <w:kern w:val="0"/>
              </w:rPr>
              <w:t>1.4项规定</w:t>
            </w:r>
            <w:r>
              <w:rPr>
                <w:rFonts w:hint="eastAsia" w:ascii="宋体" w:hAnsi="宋体" w:cs="宋体"/>
                <w:kern w:val="0"/>
              </w:rPr>
              <w:t>。</w:t>
            </w:r>
          </w:p>
        </w:tc>
      </w:tr>
      <w:tr w14:paraId="23811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4" w:hRule="atLeast"/>
          <w:jc w:val="center"/>
        </w:trPr>
        <w:tc>
          <w:tcPr>
            <w:tcW w:w="553" w:type="dxa"/>
            <w:vMerge w:val="continue"/>
          </w:tcPr>
          <w:p w14:paraId="73EFC40E">
            <w:pPr>
              <w:spacing w:line="420" w:lineRule="exact"/>
              <w:jc w:val="center"/>
              <w:rPr>
                <w:rFonts w:hint="eastAsia" w:ascii="宋体" w:hAnsi="宋体"/>
              </w:rPr>
            </w:pPr>
          </w:p>
        </w:tc>
        <w:tc>
          <w:tcPr>
            <w:tcW w:w="553" w:type="dxa"/>
            <w:vMerge w:val="continue"/>
          </w:tcPr>
          <w:p w14:paraId="50414C8A">
            <w:pPr>
              <w:spacing w:line="420" w:lineRule="exact"/>
              <w:jc w:val="center"/>
              <w:rPr>
                <w:rFonts w:hint="eastAsia" w:ascii="宋体" w:hAnsi="宋体"/>
              </w:rPr>
            </w:pPr>
          </w:p>
        </w:tc>
        <w:tc>
          <w:tcPr>
            <w:tcW w:w="851" w:type="dxa"/>
            <w:vMerge w:val="continue"/>
          </w:tcPr>
          <w:p w14:paraId="742222EC">
            <w:pPr>
              <w:spacing w:line="420" w:lineRule="exact"/>
              <w:jc w:val="center"/>
              <w:rPr>
                <w:rFonts w:hint="eastAsia" w:ascii="宋体" w:hAnsi="宋体"/>
              </w:rPr>
            </w:pPr>
          </w:p>
        </w:tc>
        <w:tc>
          <w:tcPr>
            <w:tcW w:w="709" w:type="dxa"/>
            <w:vMerge w:val="continue"/>
          </w:tcPr>
          <w:p w14:paraId="5CA29AF0">
            <w:pPr>
              <w:spacing w:line="420" w:lineRule="exact"/>
              <w:ind w:left="113" w:right="113"/>
              <w:jc w:val="center"/>
              <w:rPr>
                <w:rFonts w:hint="eastAsia" w:ascii="宋体" w:hAnsi="宋体"/>
              </w:rPr>
            </w:pPr>
          </w:p>
        </w:tc>
        <w:tc>
          <w:tcPr>
            <w:tcW w:w="1710" w:type="dxa"/>
            <w:vAlign w:val="center"/>
          </w:tcPr>
          <w:p w14:paraId="651ED5E8">
            <w:pPr>
              <w:spacing w:line="420" w:lineRule="exact"/>
              <w:jc w:val="center"/>
              <w:rPr>
                <w:rFonts w:hint="eastAsia" w:ascii="宋体" w:hAnsi="宋体" w:cs="宋体"/>
                <w:kern w:val="0"/>
              </w:rPr>
            </w:pPr>
            <w:r>
              <w:rPr>
                <w:rFonts w:hint="eastAsia" w:ascii="宋体" w:hAnsi="宋体" w:cs="宋体"/>
                <w:bCs/>
                <w:szCs w:val="21"/>
              </w:rPr>
              <w:t>交货期</w:t>
            </w:r>
          </w:p>
        </w:tc>
        <w:tc>
          <w:tcPr>
            <w:tcW w:w="5400" w:type="dxa"/>
            <w:vAlign w:val="center"/>
          </w:tcPr>
          <w:p w14:paraId="6B01149F">
            <w:pPr>
              <w:spacing w:line="420" w:lineRule="exact"/>
              <w:jc w:val="left"/>
              <w:rPr>
                <w:rFonts w:hint="eastAsia" w:ascii="宋体" w:hAnsi="宋体" w:cs="宋体"/>
                <w:kern w:val="0"/>
              </w:rPr>
            </w:pPr>
            <w:r>
              <w:rPr>
                <w:rFonts w:hint="eastAsia" w:ascii="宋体" w:hAnsi="宋体" w:cs="宋体"/>
                <w:kern w:val="0"/>
              </w:rPr>
              <w:t>符合第二章“比选供应商须知”第</w:t>
            </w:r>
            <w:r>
              <w:rPr>
                <w:rFonts w:ascii="宋体" w:hAnsi="宋体" w:cs="宋体"/>
                <w:kern w:val="0"/>
              </w:rPr>
              <w:t>1.5项规定</w:t>
            </w:r>
            <w:r>
              <w:rPr>
                <w:rFonts w:hint="eastAsia" w:ascii="宋体" w:hAnsi="宋体" w:cs="宋体"/>
                <w:kern w:val="0"/>
              </w:rPr>
              <w:t>。</w:t>
            </w:r>
          </w:p>
        </w:tc>
      </w:tr>
      <w:tr w14:paraId="4EEEB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53" w:type="dxa"/>
            <w:vMerge w:val="continue"/>
          </w:tcPr>
          <w:p w14:paraId="2A0875E9">
            <w:pPr>
              <w:spacing w:line="420" w:lineRule="exact"/>
              <w:jc w:val="center"/>
              <w:rPr>
                <w:rFonts w:hint="eastAsia" w:ascii="宋体" w:hAnsi="宋体"/>
              </w:rPr>
            </w:pPr>
          </w:p>
        </w:tc>
        <w:tc>
          <w:tcPr>
            <w:tcW w:w="553" w:type="dxa"/>
            <w:vMerge w:val="continue"/>
          </w:tcPr>
          <w:p w14:paraId="21A03946">
            <w:pPr>
              <w:spacing w:line="420" w:lineRule="exact"/>
              <w:jc w:val="center"/>
              <w:rPr>
                <w:rFonts w:hint="eastAsia" w:ascii="宋体" w:hAnsi="宋体"/>
              </w:rPr>
            </w:pPr>
          </w:p>
        </w:tc>
        <w:tc>
          <w:tcPr>
            <w:tcW w:w="851" w:type="dxa"/>
            <w:vMerge w:val="continue"/>
          </w:tcPr>
          <w:p w14:paraId="1AC1ECCD">
            <w:pPr>
              <w:spacing w:line="420" w:lineRule="exact"/>
              <w:jc w:val="center"/>
              <w:rPr>
                <w:rFonts w:hint="eastAsia" w:ascii="宋体" w:hAnsi="宋体"/>
              </w:rPr>
            </w:pPr>
          </w:p>
        </w:tc>
        <w:tc>
          <w:tcPr>
            <w:tcW w:w="709" w:type="dxa"/>
            <w:vMerge w:val="continue"/>
          </w:tcPr>
          <w:p w14:paraId="1CA63B0F">
            <w:pPr>
              <w:spacing w:line="420" w:lineRule="exact"/>
              <w:ind w:left="113" w:right="113"/>
              <w:jc w:val="center"/>
              <w:rPr>
                <w:rFonts w:hint="eastAsia" w:ascii="宋体" w:hAnsi="宋体"/>
              </w:rPr>
            </w:pPr>
          </w:p>
        </w:tc>
        <w:tc>
          <w:tcPr>
            <w:tcW w:w="1710" w:type="dxa"/>
            <w:vAlign w:val="center"/>
          </w:tcPr>
          <w:p w14:paraId="303465F9">
            <w:pPr>
              <w:spacing w:line="420" w:lineRule="exact"/>
              <w:jc w:val="center"/>
              <w:rPr>
                <w:rFonts w:hint="eastAsia" w:ascii="宋体" w:hAnsi="宋体" w:cs="宋体"/>
                <w:kern w:val="0"/>
              </w:rPr>
            </w:pPr>
            <w:r>
              <w:rPr>
                <w:rFonts w:hint="eastAsia" w:ascii="宋体" w:hAnsi="宋体" w:cs="宋体"/>
                <w:kern w:val="0"/>
              </w:rPr>
              <w:t>交货地点</w:t>
            </w:r>
          </w:p>
        </w:tc>
        <w:tc>
          <w:tcPr>
            <w:tcW w:w="5400" w:type="dxa"/>
            <w:vAlign w:val="center"/>
          </w:tcPr>
          <w:p w14:paraId="6538CBC9">
            <w:pPr>
              <w:spacing w:line="420" w:lineRule="exact"/>
              <w:jc w:val="left"/>
              <w:rPr>
                <w:rFonts w:hint="eastAsia" w:ascii="宋体" w:hAnsi="宋体" w:cs="宋体"/>
                <w:kern w:val="0"/>
              </w:rPr>
            </w:pPr>
            <w:r>
              <w:rPr>
                <w:rFonts w:hint="eastAsia" w:ascii="宋体" w:hAnsi="宋体" w:cs="宋体"/>
                <w:kern w:val="0"/>
              </w:rPr>
              <w:t>符合第二章“比选供应商须知”第</w:t>
            </w:r>
            <w:r>
              <w:rPr>
                <w:rFonts w:ascii="宋体" w:hAnsi="宋体" w:cs="宋体"/>
                <w:kern w:val="0"/>
              </w:rPr>
              <w:t>1.</w:t>
            </w:r>
            <w:r>
              <w:rPr>
                <w:rFonts w:hint="eastAsia" w:ascii="宋体" w:hAnsi="宋体" w:cs="宋体"/>
                <w:kern w:val="0"/>
              </w:rPr>
              <w:t>6</w:t>
            </w:r>
            <w:r>
              <w:rPr>
                <w:rFonts w:ascii="宋体" w:hAnsi="宋体" w:cs="宋体"/>
                <w:kern w:val="0"/>
              </w:rPr>
              <w:t>项规定</w:t>
            </w:r>
            <w:r>
              <w:rPr>
                <w:rFonts w:hint="eastAsia" w:ascii="宋体" w:hAnsi="宋体" w:cs="宋体"/>
                <w:kern w:val="0"/>
              </w:rPr>
              <w:t>。</w:t>
            </w:r>
          </w:p>
        </w:tc>
      </w:tr>
      <w:tr w14:paraId="3C696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53" w:type="dxa"/>
            <w:vMerge w:val="continue"/>
          </w:tcPr>
          <w:p w14:paraId="3824382E">
            <w:pPr>
              <w:spacing w:line="420" w:lineRule="exact"/>
              <w:jc w:val="center"/>
              <w:rPr>
                <w:rFonts w:hint="eastAsia" w:ascii="宋体" w:hAnsi="宋体"/>
              </w:rPr>
            </w:pPr>
          </w:p>
        </w:tc>
        <w:tc>
          <w:tcPr>
            <w:tcW w:w="553" w:type="dxa"/>
            <w:vMerge w:val="continue"/>
          </w:tcPr>
          <w:p w14:paraId="608C0A1C">
            <w:pPr>
              <w:spacing w:line="420" w:lineRule="exact"/>
              <w:jc w:val="center"/>
              <w:rPr>
                <w:rFonts w:hint="eastAsia" w:ascii="宋体" w:hAnsi="宋体"/>
              </w:rPr>
            </w:pPr>
          </w:p>
        </w:tc>
        <w:tc>
          <w:tcPr>
            <w:tcW w:w="851" w:type="dxa"/>
            <w:vMerge w:val="continue"/>
          </w:tcPr>
          <w:p w14:paraId="776CC65C">
            <w:pPr>
              <w:spacing w:line="420" w:lineRule="exact"/>
              <w:jc w:val="center"/>
              <w:rPr>
                <w:rFonts w:hint="eastAsia" w:ascii="宋体" w:hAnsi="宋体"/>
              </w:rPr>
            </w:pPr>
          </w:p>
        </w:tc>
        <w:tc>
          <w:tcPr>
            <w:tcW w:w="709" w:type="dxa"/>
            <w:vMerge w:val="continue"/>
          </w:tcPr>
          <w:p w14:paraId="2302B0BC">
            <w:pPr>
              <w:spacing w:line="420" w:lineRule="exact"/>
              <w:ind w:left="113" w:right="113"/>
              <w:jc w:val="center"/>
              <w:rPr>
                <w:rFonts w:hint="eastAsia" w:ascii="宋体" w:hAnsi="宋体"/>
              </w:rPr>
            </w:pPr>
          </w:p>
        </w:tc>
        <w:tc>
          <w:tcPr>
            <w:tcW w:w="1710" w:type="dxa"/>
            <w:vAlign w:val="center"/>
          </w:tcPr>
          <w:p w14:paraId="3942D2C5">
            <w:pPr>
              <w:spacing w:line="420" w:lineRule="exact"/>
              <w:jc w:val="center"/>
              <w:rPr>
                <w:rFonts w:hint="eastAsia" w:ascii="宋体" w:hAnsi="宋体" w:cs="宋体"/>
                <w:kern w:val="0"/>
              </w:rPr>
            </w:pPr>
            <w:r>
              <w:rPr>
                <w:rFonts w:hint="eastAsia" w:ascii="宋体" w:hAnsi="宋体" w:cs="宋体"/>
                <w:kern w:val="0"/>
              </w:rPr>
              <w:t>质量保修期</w:t>
            </w:r>
          </w:p>
        </w:tc>
        <w:tc>
          <w:tcPr>
            <w:tcW w:w="5400" w:type="dxa"/>
            <w:vAlign w:val="center"/>
          </w:tcPr>
          <w:p w14:paraId="539CAB6D">
            <w:pPr>
              <w:spacing w:line="420" w:lineRule="exact"/>
              <w:jc w:val="left"/>
              <w:rPr>
                <w:rFonts w:hint="eastAsia" w:ascii="宋体" w:hAnsi="宋体" w:cs="宋体"/>
                <w:kern w:val="0"/>
              </w:rPr>
            </w:pPr>
            <w:r>
              <w:rPr>
                <w:rFonts w:hint="eastAsia" w:ascii="宋体" w:hAnsi="宋体" w:cs="宋体"/>
                <w:kern w:val="0"/>
              </w:rPr>
              <w:t>符合第二章“比选供应商须知”第</w:t>
            </w:r>
            <w:r>
              <w:rPr>
                <w:rFonts w:ascii="宋体" w:hAnsi="宋体" w:cs="宋体"/>
                <w:kern w:val="0"/>
              </w:rPr>
              <w:t>1.</w:t>
            </w:r>
            <w:r>
              <w:rPr>
                <w:rFonts w:hint="eastAsia" w:ascii="宋体" w:hAnsi="宋体" w:cs="宋体"/>
                <w:kern w:val="0"/>
              </w:rPr>
              <w:t>7</w:t>
            </w:r>
            <w:r>
              <w:rPr>
                <w:rFonts w:ascii="宋体" w:hAnsi="宋体" w:cs="宋体"/>
                <w:kern w:val="0"/>
              </w:rPr>
              <w:t>项规定</w:t>
            </w:r>
            <w:r>
              <w:rPr>
                <w:rFonts w:hint="eastAsia" w:ascii="宋体" w:hAnsi="宋体" w:cs="宋体"/>
                <w:kern w:val="0"/>
              </w:rPr>
              <w:t>。</w:t>
            </w:r>
          </w:p>
        </w:tc>
      </w:tr>
      <w:tr w14:paraId="41755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53" w:type="dxa"/>
            <w:vMerge w:val="continue"/>
          </w:tcPr>
          <w:p w14:paraId="32EC8294">
            <w:pPr>
              <w:spacing w:line="420" w:lineRule="exact"/>
              <w:jc w:val="center"/>
              <w:rPr>
                <w:rFonts w:hint="eastAsia" w:ascii="宋体" w:hAnsi="宋体"/>
              </w:rPr>
            </w:pPr>
          </w:p>
        </w:tc>
        <w:tc>
          <w:tcPr>
            <w:tcW w:w="553" w:type="dxa"/>
            <w:vMerge w:val="continue"/>
          </w:tcPr>
          <w:p w14:paraId="365A401B">
            <w:pPr>
              <w:spacing w:line="420" w:lineRule="exact"/>
              <w:jc w:val="center"/>
              <w:rPr>
                <w:rFonts w:hint="eastAsia" w:ascii="宋体" w:hAnsi="宋体"/>
              </w:rPr>
            </w:pPr>
          </w:p>
        </w:tc>
        <w:tc>
          <w:tcPr>
            <w:tcW w:w="851" w:type="dxa"/>
            <w:vMerge w:val="continue"/>
          </w:tcPr>
          <w:p w14:paraId="3F5A2B91">
            <w:pPr>
              <w:spacing w:line="420" w:lineRule="exact"/>
              <w:jc w:val="center"/>
              <w:rPr>
                <w:rFonts w:hint="eastAsia" w:ascii="宋体" w:hAnsi="宋体"/>
              </w:rPr>
            </w:pPr>
          </w:p>
        </w:tc>
        <w:tc>
          <w:tcPr>
            <w:tcW w:w="709" w:type="dxa"/>
            <w:vMerge w:val="continue"/>
          </w:tcPr>
          <w:p w14:paraId="014638C4">
            <w:pPr>
              <w:spacing w:line="420" w:lineRule="exact"/>
              <w:ind w:left="113" w:right="113"/>
              <w:jc w:val="center"/>
              <w:rPr>
                <w:rFonts w:hint="eastAsia" w:ascii="宋体" w:hAnsi="宋体"/>
              </w:rPr>
            </w:pPr>
          </w:p>
        </w:tc>
        <w:tc>
          <w:tcPr>
            <w:tcW w:w="1710" w:type="dxa"/>
            <w:vAlign w:val="center"/>
          </w:tcPr>
          <w:p w14:paraId="7DFC5792">
            <w:pPr>
              <w:spacing w:line="420" w:lineRule="exact"/>
              <w:jc w:val="center"/>
              <w:rPr>
                <w:rFonts w:hint="eastAsia" w:ascii="宋体" w:hAnsi="宋体" w:cs="宋体"/>
                <w:kern w:val="0"/>
              </w:rPr>
            </w:pPr>
            <w:r>
              <w:rPr>
                <w:rFonts w:hint="eastAsia" w:ascii="宋体" w:hAnsi="宋体" w:cs="宋体"/>
                <w:kern w:val="0"/>
              </w:rPr>
              <w:t>质量要求</w:t>
            </w:r>
          </w:p>
        </w:tc>
        <w:tc>
          <w:tcPr>
            <w:tcW w:w="5400" w:type="dxa"/>
            <w:vAlign w:val="center"/>
          </w:tcPr>
          <w:p w14:paraId="54B867DC">
            <w:pPr>
              <w:spacing w:line="420" w:lineRule="exact"/>
              <w:jc w:val="left"/>
              <w:rPr>
                <w:rFonts w:hint="eastAsia" w:ascii="宋体" w:hAnsi="宋体" w:cs="宋体"/>
                <w:kern w:val="0"/>
              </w:rPr>
            </w:pPr>
            <w:r>
              <w:rPr>
                <w:rFonts w:hint="eastAsia" w:ascii="宋体" w:hAnsi="宋体" w:cs="宋体"/>
                <w:kern w:val="0"/>
              </w:rPr>
              <w:t>符合第二章“比选供应商须知”第</w:t>
            </w:r>
            <w:r>
              <w:rPr>
                <w:rFonts w:ascii="宋体" w:hAnsi="宋体" w:cs="宋体"/>
                <w:kern w:val="0"/>
              </w:rPr>
              <w:t>1.</w:t>
            </w:r>
            <w:r>
              <w:rPr>
                <w:rFonts w:hint="eastAsia" w:ascii="宋体" w:hAnsi="宋体" w:cs="宋体"/>
                <w:kern w:val="0"/>
              </w:rPr>
              <w:t>8</w:t>
            </w:r>
            <w:r>
              <w:rPr>
                <w:rFonts w:ascii="宋体" w:hAnsi="宋体" w:cs="宋体"/>
                <w:kern w:val="0"/>
              </w:rPr>
              <w:t>项规定</w:t>
            </w:r>
            <w:r>
              <w:rPr>
                <w:rFonts w:hint="eastAsia" w:ascii="宋体" w:hAnsi="宋体" w:cs="宋体"/>
                <w:kern w:val="0"/>
              </w:rPr>
              <w:t>。</w:t>
            </w:r>
          </w:p>
        </w:tc>
      </w:tr>
      <w:tr w14:paraId="10832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553" w:type="dxa"/>
            <w:vMerge w:val="continue"/>
          </w:tcPr>
          <w:p w14:paraId="4D96E93F">
            <w:pPr>
              <w:spacing w:line="420" w:lineRule="exact"/>
              <w:jc w:val="center"/>
              <w:rPr>
                <w:rFonts w:hint="eastAsia" w:ascii="宋体" w:hAnsi="宋体"/>
              </w:rPr>
            </w:pPr>
          </w:p>
        </w:tc>
        <w:tc>
          <w:tcPr>
            <w:tcW w:w="553" w:type="dxa"/>
            <w:vMerge w:val="continue"/>
          </w:tcPr>
          <w:p w14:paraId="317EFEB6">
            <w:pPr>
              <w:spacing w:line="420" w:lineRule="exact"/>
              <w:jc w:val="center"/>
              <w:rPr>
                <w:rFonts w:hint="eastAsia" w:ascii="宋体" w:hAnsi="宋体"/>
              </w:rPr>
            </w:pPr>
          </w:p>
        </w:tc>
        <w:tc>
          <w:tcPr>
            <w:tcW w:w="851" w:type="dxa"/>
            <w:vMerge w:val="continue"/>
          </w:tcPr>
          <w:p w14:paraId="6FFE6A60">
            <w:pPr>
              <w:spacing w:line="420" w:lineRule="exact"/>
              <w:jc w:val="center"/>
              <w:rPr>
                <w:rFonts w:hint="eastAsia" w:ascii="宋体" w:hAnsi="宋体"/>
              </w:rPr>
            </w:pPr>
          </w:p>
        </w:tc>
        <w:tc>
          <w:tcPr>
            <w:tcW w:w="709" w:type="dxa"/>
            <w:vMerge w:val="continue"/>
          </w:tcPr>
          <w:p w14:paraId="0E43D20D">
            <w:pPr>
              <w:spacing w:line="420" w:lineRule="exact"/>
              <w:ind w:left="113" w:right="113"/>
              <w:jc w:val="center"/>
              <w:rPr>
                <w:rFonts w:hint="eastAsia" w:ascii="宋体" w:hAnsi="宋体"/>
              </w:rPr>
            </w:pPr>
          </w:p>
        </w:tc>
        <w:tc>
          <w:tcPr>
            <w:tcW w:w="1710" w:type="dxa"/>
            <w:vAlign w:val="center"/>
          </w:tcPr>
          <w:p w14:paraId="5ADDE2DC">
            <w:pPr>
              <w:spacing w:line="420" w:lineRule="exact"/>
              <w:jc w:val="center"/>
              <w:rPr>
                <w:rFonts w:hint="eastAsia" w:ascii="宋体" w:hAnsi="宋体" w:cs="宋体"/>
                <w:kern w:val="0"/>
              </w:rPr>
            </w:pPr>
            <w:r>
              <w:rPr>
                <w:rFonts w:hint="eastAsia" w:ascii="宋体" w:hAnsi="宋体" w:cs="宋体"/>
                <w:kern w:val="0"/>
              </w:rPr>
              <w:t>比选保证金</w:t>
            </w:r>
          </w:p>
        </w:tc>
        <w:tc>
          <w:tcPr>
            <w:tcW w:w="5400" w:type="dxa"/>
            <w:vAlign w:val="center"/>
          </w:tcPr>
          <w:p w14:paraId="0D54FD39">
            <w:pPr>
              <w:spacing w:line="420" w:lineRule="exact"/>
              <w:jc w:val="left"/>
              <w:rPr>
                <w:rFonts w:hint="eastAsia" w:ascii="宋体" w:hAnsi="宋体" w:cs="宋体"/>
                <w:kern w:val="0"/>
              </w:rPr>
            </w:pPr>
            <w:r>
              <w:rPr>
                <w:rFonts w:hint="eastAsia" w:ascii="宋体" w:hAnsi="宋体" w:cs="宋体"/>
                <w:szCs w:val="21"/>
              </w:rPr>
              <w:t>符合</w:t>
            </w:r>
            <w:r>
              <w:rPr>
                <w:rFonts w:hint="eastAsia" w:ascii="宋体" w:hAnsi="宋体" w:cs="宋体"/>
                <w:kern w:val="0"/>
              </w:rPr>
              <w:t>第二章“比选供应商</w:t>
            </w:r>
            <w:r>
              <w:rPr>
                <w:rFonts w:hint="eastAsia" w:ascii="宋体" w:hAnsi="宋体" w:cs="宋体"/>
                <w:szCs w:val="21"/>
              </w:rPr>
              <w:t>须知前附表</w:t>
            </w:r>
            <w:r>
              <w:rPr>
                <w:rFonts w:hint="eastAsia" w:ascii="宋体" w:hAnsi="宋体" w:cs="宋体"/>
                <w:kern w:val="0"/>
              </w:rPr>
              <w:t>”</w:t>
            </w:r>
            <w:r>
              <w:rPr>
                <w:rFonts w:hint="eastAsia" w:ascii="宋体" w:hAnsi="宋体" w:cs="宋体"/>
                <w:szCs w:val="21"/>
              </w:rPr>
              <w:t>C.12规定。</w:t>
            </w:r>
          </w:p>
        </w:tc>
      </w:tr>
      <w:tr w14:paraId="37B7B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jc w:val="center"/>
        </w:trPr>
        <w:tc>
          <w:tcPr>
            <w:tcW w:w="553" w:type="dxa"/>
            <w:vMerge w:val="continue"/>
          </w:tcPr>
          <w:p w14:paraId="13240082">
            <w:pPr>
              <w:spacing w:line="420" w:lineRule="exact"/>
              <w:jc w:val="center"/>
              <w:rPr>
                <w:rFonts w:hint="eastAsia" w:ascii="宋体" w:hAnsi="宋体"/>
              </w:rPr>
            </w:pPr>
          </w:p>
        </w:tc>
        <w:tc>
          <w:tcPr>
            <w:tcW w:w="553" w:type="dxa"/>
            <w:vMerge w:val="continue"/>
          </w:tcPr>
          <w:p w14:paraId="67342DA7">
            <w:pPr>
              <w:spacing w:line="420" w:lineRule="exact"/>
              <w:jc w:val="center"/>
              <w:rPr>
                <w:rFonts w:hint="eastAsia" w:ascii="宋体" w:hAnsi="宋体"/>
              </w:rPr>
            </w:pPr>
          </w:p>
        </w:tc>
        <w:tc>
          <w:tcPr>
            <w:tcW w:w="851" w:type="dxa"/>
            <w:vMerge w:val="continue"/>
          </w:tcPr>
          <w:p w14:paraId="57C842DF">
            <w:pPr>
              <w:spacing w:line="420" w:lineRule="exact"/>
              <w:jc w:val="center"/>
              <w:rPr>
                <w:rFonts w:hint="eastAsia" w:ascii="宋体" w:hAnsi="宋体"/>
              </w:rPr>
            </w:pPr>
          </w:p>
        </w:tc>
        <w:tc>
          <w:tcPr>
            <w:tcW w:w="709" w:type="dxa"/>
            <w:vMerge w:val="continue"/>
          </w:tcPr>
          <w:p w14:paraId="38BA51BC">
            <w:pPr>
              <w:spacing w:line="420" w:lineRule="exact"/>
              <w:ind w:left="113" w:right="113"/>
              <w:jc w:val="center"/>
              <w:rPr>
                <w:rFonts w:hint="eastAsia" w:ascii="宋体" w:hAnsi="宋体"/>
              </w:rPr>
            </w:pPr>
          </w:p>
        </w:tc>
        <w:tc>
          <w:tcPr>
            <w:tcW w:w="1710" w:type="dxa"/>
            <w:vAlign w:val="center"/>
          </w:tcPr>
          <w:p w14:paraId="5EDE6247">
            <w:pPr>
              <w:spacing w:line="420" w:lineRule="exact"/>
              <w:jc w:val="center"/>
              <w:rPr>
                <w:rFonts w:hint="eastAsia" w:ascii="宋体" w:hAnsi="宋体" w:cs="宋体"/>
                <w:kern w:val="0"/>
              </w:rPr>
            </w:pPr>
            <w:r>
              <w:rPr>
                <w:rFonts w:hint="eastAsia" w:ascii="宋体" w:hAnsi="宋体" w:cs="宋体"/>
                <w:kern w:val="0"/>
              </w:rPr>
              <w:t>比选有效期</w:t>
            </w:r>
          </w:p>
        </w:tc>
        <w:tc>
          <w:tcPr>
            <w:tcW w:w="5400" w:type="dxa"/>
            <w:vAlign w:val="center"/>
          </w:tcPr>
          <w:p w14:paraId="146D147D">
            <w:pPr>
              <w:tabs>
                <w:tab w:val="left" w:pos="601"/>
              </w:tabs>
              <w:snapToGrid w:val="0"/>
              <w:spacing w:before="120" w:beforeLines="50" w:line="420" w:lineRule="exact"/>
              <w:ind w:left="-1"/>
              <w:rPr>
                <w:rFonts w:hint="eastAsia" w:ascii="宋体" w:hAnsi="宋体" w:cs="宋体"/>
                <w:kern w:val="0"/>
              </w:rPr>
            </w:pPr>
            <w:r>
              <w:rPr>
                <w:rFonts w:hint="eastAsia" w:ascii="宋体" w:hAnsi="宋体" w:cs="宋体"/>
                <w:szCs w:val="21"/>
              </w:rPr>
              <w:t>符合</w:t>
            </w:r>
            <w:r>
              <w:rPr>
                <w:rFonts w:hint="eastAsia" w:ascii="宋体" w:hAnsi="宋体" w:cs="宋体"/>
                <w:kern w:val="0"/>
              </w:rPr>
              <w:t>第二章“比选供应商</w:t>
            </w:r>
            <w:r>
              <w:rPr>
                <w:rFonts w:hint="eastAsia" w:ascii="宋体" w:hAnsi="宋体" w:cs="宋体"/>
                <w:szCs w:val="21"/>
              </w:rPr>
              <w:t>须知前附表</w:t>
            </w:r>
            <w:r>
              <w:rPr>
                <w:rFonts w:hint="eastAsia" w:ascii="宋体" w:hAnsi="宋体" w:cs="宋体"/>
                <w:kern w:val="0"/>
              </w:rPr>
              <w:t>”</w:t>
            </w:r>
            <w:r>
              <w:rPr>
                <w:rFonts w:hint="eastAsia" w:ascii="宋体" w:hAnsi="宋体" w:cs="宋体"/>
                <w:szCs w:val="21"/>
              </w:rPr>
              <w:t>C.1</w:t>
            </w:r>
            <w:r>
              <w:rPr>
                <w:rFonts w:ascii="宋体" w:hAnsi="宋体" w:cs="宋体"/>
                <w:szCs w:val="21"/>
              </w:rPr>
              <w:t>3</w:t>
            </w:r>
            <w:r>
              <w:rPr>
                <w:rFonts w:hint="eastAsia" w:ascii="宋体" w:hAnsi="宋体" w:cs="宋体"/>
                <w:szCs w:val="21"/>
              </w:rPr>
              <w:t>规定。</w:t>
            </w:r>
          </w:p>
        </w:tc>
      </w:tr>
      <w:tr w14:paraId="2BF7E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53" w:type="dxa"/>
            <w:vMerge w:val="continue"/>
          </w:tcPr>
          <w:p w14:paraId="1E3F55AA">
            <w:pPr>
              <w:spacing w:line="420" w:lineRule="exact"/>
              <w:jc w:val="center"/>
              <w:rPr>
                <w:rFonts w:hint="eastAsia" w:ascii="宋体" w:hAnsi="宋体"/>
              </w:rPr>
            </w:pPr>
          </w:p>
        </w:tc>
        <w:tc>
          <w:tcPr>
            <w:tcW w:w="553" w:type="dxa"/>
            <w:vMerge w:val="continue"/>
          </w:tcPr>
          <w:p w14:paraId="7EC6193F">
            <w:pPr>
              <w:spacing w:line="420" w:lineRule="exact"/>
              <w:jc w:val="center"/>
              <w:rPr>
                <w:rFonts w:hint="eastAsia" w:ascii="宋体" w:hAnsi="宋体"/>
              </w:rPr>
            </w:pPr>
          </w:p>
        </w:tc>
        <w:tc>
          <w:tcPr>
            <w:tcW w:w="851" w:type="dxa"/>
            <w:vMerge w:val="continue"/>
          </w:tcPr>
          <w:p w14:paraId="10C37276">
            <w:pPr>
              <w:spacing w:line="420" w:lineRule="exact"/>
              <w:jc w:val="center"/>
              <w:rPr>
                <w:rFonts w:hint="eastAsia" w:ascii="宋体" w:hAnsi="宋体"/>
              </w:rPr>
            </w:pPr>
          </w:p>
        </w:tc>
        <w:tc>
          <w:tcPr>
            <w:tcW w:w="709" w:type="dxa"/>
            <w:vMerge w:val="continue"/>
          </w:tcPr>
          <w:p w14:paraId="350AD3FD">
            <w:pPr>
              <w:spacing w:line="420" w:lineRule="exact"/>
              <w:ind w:left="113" w:right="113"/>
              <w:jc w:val="center"/>
              <w:rPr>
                <w:rFonts w:hint="eastAsia" w:ascii="宋体" w:hAnsi="宋体"/>
              </w:rPr>
            </w:pPr>
          </w:p>
        </w:tc>
        <w:tc>
          <w:tcPr>
            <w:tcW w:w="1710" w:type="dxa"/>
            <w:vAlign w:val="center"/>
          </w:tcPr>
          <w:p w14:paraId="7B735072">
            <w:pPr>
              <w:spacing w:line="420" w:lineRule="exact"/>
              <w:jc w:val="center"/>
              <w:rPr>
                <w:rFonts w:hint="eastAsia" w:ascii="宋体" w:hAnsi="宋体" w:cs="宋体"/>
                <w:kern w:val="0"/>
              </w:rPr>
            </w:pPr>
            <w:r>
              <w:rPr>
                <w:rFonts w:hint="eastAsia" w:ascii="宋体" w:hAnsi="宋体" w:cs="宋体"/>
                <w:kern w:val="0"/>
              </w:rPr>
              <w:t>响应文件</w:t>
            </w:r>
          </w:p>
        </w:tc>
        <w:tc>
          <w:tcPr>
            <w:tcW w:w="5400" w:type="dxa"/>
            <w:vAlign w:val="center"/>
          </w:tcPr>
          <w:p w14:paraId="11E226D2">
            <w:pPr>
              <w:spacing w:line="420" w:lineRule="exact"/>
              <w:ind w:leftChars="-1" w:hanging="2" w:hangingChars="1"/>
              <w:rPr>
                <w:rFonts w:hint="eastAsia" w:ascii="宋体" w:hAnsi="宋体" w:cs="宋体"/>
                <w:kern w:val="0"/>
              </w:rPr>
            </w:pPr>
            <w:r>
              <w:rPr>
                <w:rFonts w:hint="eastAsia" w:ascii="宋体" w:hAnsi="宋体" w:cs="宋体"/>
                <w:szCs w:val="21"/>
              </w:rPr>
              <w:t>实质上响应比选文件要求</w:t>
            </w:r>
            <w:r>
              <w:rPr>
                <w:rFonts w:hint="eastAsia" w:ascii="宋体" w:hAnsi="宋体" w:cs="宋体"/>
                <w:kern w:val="0"/>
              </w:rPr>
              <w:t>，且响应文件不应附有比选人不能接受的条件。</w:t>
            </w:r>
          </w:p>
        </w:tc>
      </w:tr>
      <w:tr w14:paraId="72143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553" w:type="dxa"/>
            <w:vMerge w:val="continue"/>
          </w:tcPr>
          <w:p w14:paraId="61753A0C">
            <w:pPr>
              <w:spacing w:line="420" w:lineRule="exact"/>
              <w:jc w:val="center"/>
              <w:rPr>
                <w:rFonts w:hint="eastAsia" w:ascii="宋体" w:hAnsi="宋体" w:cs="宋体"/>
              </w:rPr>
            </w:pPr>
          </w:p>
        </w:tc>
        <w:tc>
          <w:tcPr>
            <w:tcW w:w="553" w:type="dxa"/>
            <w:vMerge w:val="continue"/>
          </w:tcPr>
          <w:p w14:paraId="6940D4D2">
            <w:pPr>
              <w:spacing w:line="420" w:lineRule="exact"/>
              <w:jc w:val="center"/>
              <w:rPr>
                <w:rFonts w:hint="eastAsia" w:ascii="宋体" w:hAnsi="宋体" w:cs="宋体"/>
              </w:rPr>
            </w:pPr>
          </w:p>
        </w:tc>
        <w:tc>
          <w:tcPr>
            <w:tcW w:w="851" w:type="dxa"/>
            <w:vMerge w:val="continue"/>
            <w:vAlign w:val="center"/>
          </w:tcPr>
          <w:p w14:paraId="77315CCB">
            <w:pPr>
              <w:spacing w:line="420" w:lineRule="exact"/>
              <w:jc w:val="center"/>
              <w:rPr>
                <w:rFonts w:hint="eastAsia" w:ascii="宋体" w:hAnsi="宋体" w:cs="宋体"/>
              </w:rPr>
            </w:pPr>
          </w:p>
        </w:tc>
        <w:tc>
          <w:tcPr>
            <w:tcW w:w="709" w:type="dxa"/>
            <w:vMerge w:val="continue"/>
            <w:textDirection w:val="tbRlV"/>
            <w:vAlign w:val="center"/>
          </w:tcPr>
          <w:p w14:paraId="3BC1D627">
            <w:pPr>
              <w:spacing w:line="420" w:lineRule="exact"/>
              <w:ind w:left="113" w:right="113"/>
              <w:jc w:val="center"/>
              <w:rPr>
                <w:rFonts w:hint="eastAsia" w:ascii="宋体" w:hAnsi="宋体" w:cs="宋体"/>
              </w:rPr>
            </w:pPr>
          </w:p>
        </w:tc>
        <w:tc>
          <w:tcPr>
            <w:tcW w:w="1710" w:type="dxa"/>
            <w:vAlign w:val="center"/>
          </w:tcPr>
          <w:p w14:paraId="16415A21">
            <w:pPr>
              <w:spacing w:line="420" w:lineRule="exact"/>
              <w:jc w:val="center"/>
              <w:rPr>
                <w:rFonts w:hint="eastAsia" w:ascii="宋体" w:hAnsi="宋体" w:cs="宋体"/>
                <w:kern w:val="0"/>
              </w:rPr>
            </w:pPr>
            <w:r>
              <w:rPr>
                <w:rFonts w:hint="eastAsia" w:ascii="宋体" w:hAnsi="宋体" w:cs="宋体"/>
                <w:kern w:val="0"/>
              </w:rPr>
              <w:t>比选报价</w:t>
            </w:r>
          </w:p>
        </w:tc>
        <w:tc>
          <w:tcPr>
            <w:tcW w:w="5400" w:type="dxa"/>
            <w:vAlign w:val="center"/>
          </w:tcPr>
          <w:p w14:paraId="642B7429">
            <w:pPr>
              <w:spacing w:before="120" w:beforeLines="50" w:line="420" w:lineRule="exact"/>
              <w:ind w:leftChars="-1" w:hanging="2" w:hangingChars="1"/>
              <w:rPr>
                <w:rFonts w:hint="eastAsia" w:ascii="宋体" w:hAnsi="宋体" w:cs="宋体"/>
                <w:kern w:val="0"/>
              </w:rPr>
            </w:pPr>
            <w:r>
              <w:rPr>
                <w:rFonts w:hint="eastAsia" w:ascii="宋体" w:hAnsi="宋体" w:cs="宋体"/>
                <w:kern w:val="0"/>
              </w:rPr>
              <w:t>比选报价不高于相应的最高限价，且需符合比选文件的规定。</w:t>
            </w:r>
          </w:p>
        </w:tc>
      </w:tr>
      <w:tr w14:paraId="4373F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553" w:type="dxa"/>
            <w:vMerge w:val="continue"/>
          </w:tcPr>
          <w:p w14:paraId="0B90806F">
            <w:pPr>
              <w:spacing w:line="420" w:lineRule="exact"/>
              <w:jc w:val="center"/>
              <w:rPr>
                <w:rFonts w:hint="eastAsia" w:ascii="宋体" w:hAnsi="宋体" w:cs="宋体"/>
              </w:rPr>
            </w:pPr>
          </w:p>
        </w:tc>
        <w:tc>
          <w:tcPr>
            <w:tcW w:w="553" w:type="dxa"/>
            <w:vMerge w:val="continue"/>
          </w:tcPr>
          <w:p w14:paraId="419BE696">
            <w:pPr>
              <w:spacing w:line="420" w:lineRule="exact"/>
              <w:jc w:val="center"/>
              <w:rPr>
                <w:rFonts w:hint="eastAsia" w:ascii="宋体" w:hAnsi="宋体" w:cs="宋体"/>
              </w:rPr>
            </w:pPr>
          </w:p>
        </w:tc>
        <w:tc>
          <w:tcPr>
            <w:tcW w:w="851" w:type="dxa"/>
            <w:vMerge w:val="continue"/>
            <w:vAlign w:val="center"/>
          </w:tcPr>
          <w:p w14:paraId="14E9CE2E">
            <w:pPr>
              <w:spacing w:line="420" w:lineRule="exact"/>
              <w:jc w:val="center"/>
              <w:rPr>
                <w:rFonts w:hint="eastAsia" w:ascii="宋体" w:hAnsi="宋体" w:cs="宋体"/>
              </w:rPr>
            </w:pPr>
          </w:p>
        </w:tc>
        <w:tc>
          <w:tcPr>
            <w:tcW w:w="709" w:type="dxa"/>
            <w:vMerge w:val="continue"/>
            <w:textDirection w:val="tbRlV"/>
            <w:vAlign w:val="center"/>
          </w:tcPr>
          <w:p w14:paraId="68976B56">
            <w:pPr>
              <w:spacing w:line="420" w:lineRule="exact"/>
              <w:ind w:left="113" w:right="113"/>
              <w:jc w:val="center"/>
              <w:rPr>
                <w:rFonts w:hint="eastAsia" w:ascii="宋体" w:hAnsi="宋体" w:cs="宋体"/>
              </w:rPr>
            </w:pPr>
          </w:p>
        </w:tc>
        <w:tc>
          <w:tcPr>
            <w:tcW w:w="1710" w:type="dxa"/>
            <w:vAlign w:val="center"/>
          </w:tcPr>
          <w:p w14:paraId="13FDBE07">
            <w:pPr>
              <w:spacing w:line="420" w:lineRule="exact"/>
              <w:jc w:val="center"/>
              <w:rPr>
                <w:rFonts w:hint="eastAsia" w:ascii="宋体" w:hAnsi="宋体" w:cs="宋体"/>
                <w:kern w:val="0"/>
              </w:rPr>
            </w:pPr>
            <w:r>
              <w:rPr>
                <w:rFonts w:hint="eastAsia" w:ascii="宋体" w:hAnsi="宋体" w:cs="宋体"/>
                <w:kern w:val="0"/>
                <w:lang w:val="en-US" w:eastAsia="zh-CN"/>
              </w:rPr>
              <w:t>其他</w:t>
            </w:r>
            <w:r>
              <w:rPr>
                <w:rFonts w:hint="eastAsia" w:ascii="宋体" w:hAnsi="宋体" w:cs="宋体"/>
                <w:kern w:val="0"/>
              </w:rPr>
              <w:t>需求</w:t>
            </w:r>
          </w:p>
        </w:tc>
        <w:tc>
          <w:tcPr>
            <w:tcW w:w="5400" w:type="dxa"/>
            <w:vAlign w:val="center"/>
          </w:tcPr>
          <w:p w14:paraId="086FC8B8">
            <w:pPr>
              <w:spacing w:before="120" w:beforeLines="50" w:line="420" w:lineRule="exact"/>
              <w:ind w:leftChars="-1" w:hanging="2" w:hangingChars="1"/>
              <w:rPr>
                <w:rFonts w:hint="eastAsia" w:ascii="宋体" w:hAnsi="宋体" w:cs="宋体"/>
                <w:kern w:val="0"/>
              </w:rPr>
            </w:pPr>
            <w:r>
              <w:rPr>
                <w:rFonts w:hint="eastAsia" w:ascii="宋体" w:hAnsi="宋体"/>
                <w:color w:val="000000" w:themeColor="text1"/>
                <w:kern w:val="0"/>
                <w:szCs w:val="21"/>
                <w14:textFill>
                  <w14:solidFill>
                    <w14:schemeClr w14:val="tx1"/>
                  </w14:solidFill>
                </w14:textFill>
              </w:rPr>
              <w:t>符合第四章“</w:t>
            </w:r>
            <w:r>
              <w:rPr>
                <w:rFonts w:hint="eastAsia" w:ascii="宋体" w:hAnsi="宋体" w:cs="宋体"/>
                <w:color w:val="000000" w:themeColor="text1"/>
                <w:kern w:val="0"/>
                <w14:textFill>
                  <w14:solidFill>
                    <w14:schemeClr w14:val="tx1"/>
                  </w14:solidFill>
                </w14:textFill>
              </w:rPr>
              <w:t>项目概况和要求</w:t>
            </w:r>
            <w:r>
              <w:rPr>
                <w:rFonts w:hint="eastAsia" w:ascii="宋体" w:hAnsi="宋体"/>
                <w:color w:val="000000" w:themeColor="text1"/>
                <w:kern w:val="0"/>
                <w:szCs w:val="21"/>
                <w14:textFill>
                  <w14:solidFill>
                    <w14:schemeClr w14:val="tx1"/>
                  </w14:solidFill>
                </w14:textFill>
              </w:rPr>
              <w:t>”</w:t>
            </w:r>
            <w:r>
              <w:rPr>
                <w:rFonts w:hint="eastAsia" w:ascii="宋体" w:hAnsi="宋体"/>
                <w:color w:val="000000" w:themeColor="text1"/>
                <w:kern w:val="0"/>
                <w:szCs w:val="21"/>
                <w:lang w:val="en-US" w:eastAsia="zh-CN"/>
                <w14:textFill>
                  <w14:solidFill>
                    <w14:schemeClr w14:val="tx1"/>
                  </w14:solidFill>
                </w14:textFill>
              </w:rPr>
              <w:t>和第五章“合同条款”</w:t>
            </w:r>
            <w:r>
              <w:rPr>
                <w:rFonts w:hint="eastAsia" w:ascii="宋体" w:hAnsi="宋体"/>
                <w:color w:val="000000" w:themeColor="text1"/>
                <w:kern w:val="0"/>
                <w:szCs w:val="21"/>
                <w14:textFill>
                  <w14:solidFill>
                    <w14:schemeClr w14:val="tx1"/>
                  </w14:solidFill>
                </w14:textFill>
              </w:rPr>
              <w:t>中的实质性要求和条件</w:t>
            </w:r>
            <w:r>
              <w:rPr>
                <w:rFonts w:hint="eastAsia" w:ascii="宋体" w:hAnsi="宋体" w:cs="宋体"/>
                <w:kern w:val="0"/>
              </w:rPr>
              <w:t>。</w:t>
            </w:r>
          </w:p>
        </w:tc>
      </w:tr>
      <w:tr w14:paraId="6B37D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53" w:type="dxa"/>
            <w:vMerge w:val="restart"/>
            <w:vAlign w:val="center"/>
          </w:tcPr>
          <w:p w14:paraId="536A9BDD">
            <w:pPr>
              <w:spacing w:line="420" w:lineRule="exact"/>
              <w:jc w:val="center"/>
              <w:rPr>
                <w:rFonts w:hint="eastAsia" w:ascii="宋体" w:hAnsi="宋体" w:cs="宋体"/>
              </w:rPr>
            </w:pPr>
            <w:r>
              <w:rPr>
                <w:rFonts w:ascii="宋体" w:hAnsi="宋体" w:cs="宋体"/>
                <w:kern w:val="0"/>
              </w:rPr>
              <w:t>2.2</w:t>
            </w:r>
          </w:p>
        </w:tc>
        <w:tc>
          <w:tcPr>
            <w:tcW w:w="553" w:type="dxa"/>
            <w:vMerge w:val="restart"/>
            <w:vAlign w:val="center"/>
          </w:tcPr>
          <w:p w14:paraId="3BEA48FF">
            <w:pPr>
              <w:spacing w:line="420" w:lineRule="exact"/>
              <w:ind w:left="113" w:right="113"/>
              <w:jc w:val="center"/>
              <w:rPr>
                <w:rFonts w:hint="eastAsia" w:ascii="宋体" w:hAnsi="宋体" w:cs="宋体"/>
              </w:rPr>
            </w:pPr>
            <w:r>
              <w:rPr>
                <w:rFonts w:hint="eastAsia" w:ascii="宋体" w:hAnsi="宋体" w:cs="宋体"/>
              </w:rPr>
              <w:t>详细评审标准</w:t>
            </w:r>
          </w:p>
        </w:tc>
        <w:tc>
          <w:tcPr>
            <w:tcW w:w="1560" w:type="dxa"/>
            <w:gridSpan w:val="2"/>
            <w:vAlign w:val="center"/>
          </w:tcPr>
          <w:p w14:paraId="25FF4511">
            <w:pPr>
              <w:spacing w:line="420" w:lineRule="exact"/>
              <w:ind w:left="113" w:right="113"/>
              <w:jc w:val="center"/>
              <w:rPr>
                <w:rFonts w:hint="eastAsia" w:ascii="宋体" w:hAnsi="宋体" w:cs="宋体"/>
              </w:rPr>
            </w:pPr>
            <w:r>
              <w:rPr>
                <w:rFonts w:ascii="宋体" w:hAnsi="宋体" w:cs="宋体"/>
              </w:rPr>
              <w:t>2.2.1</w:t>
            </w:r>
          </w:p>
        </w:tc>
        <w:tc>
          <w:tcPr>
            <w:tcW w:w="1710" w:type="dxa"/>
            <w:vAlign w:val="center"/>
          </w:tcPr>
          <w:p w14:paraId="4D095C44">
            <w:pPr>
              <w:spacing w:line="420" w:lineRule="exact"/>
              <w:jc w:val="center"/>
              <w:rPr>
                <w:rFonts w:hint="eastAsia" w:ascii="宋体" w:hAnsi="宋体" w:cs="宋体"/>
                <w:kern w:val="0"/>
              </w:rPr>
            </w:pPr>
            <w:r>
              <w:rPr>
                <w:rFonts w:hint="eastAsia" w:ascii="宋体" w:hAnsi="宋体" w:cs="宋体"/>
                <w:kern w:val="0"/>
              </w:rPr>
              <w:t>分值构成</w:t>
            </w:r>
          </w:p>
          <w:p w14:paraId="7B25744A">
            <w:pPr>
              <w:spacing w:line="420" w:lineRule="exact"/>
              <w:jc w:val="center"/>
              <w:rPr>
                <w:rFonts w:hint="eastAsia" w:ascii="宋体" w:hAnsi="宋体" w:cs="宋体"/>
                <w:kern w:val="0"/>
              </w:rPr>
            </w:pPr>
            <w:r>
              <w:rPr>
                <w:rFonts w:hint="eastAsia" w:ascii="宋体" w:hAnsi="宋体" w:cs="宋体"/>
                <w:kern w:val="0"/>
              </w:rPr>
              <w:t>（总分</w:t>
            </w:r>
            <w:r>
              <w:rPr>
                <w:rFonts w:ascii="宋体" w:hAnsi="宋体" w:cs="宋体"/>
                <w:kern w:val="0"/>
              </w:rPr>
              <w:t>100</w:t>
            </w:r>
            <w:r>
              <w:rPr>
                <w:rFonts w:hint="eastAsia" w:ascii="宋体" w:hAnsi="宋体" w:cs="宋体"/>
                <w:kern w:val="0"/>
              </w:rPr>
              <w:t>分）</w:t>
            </w:r>
          </w:p>
        </w:tc>
        <w:tc>
          <w:tcPr>
            <w:tcW w:w="5400" w:type="dxa"/>
            <w:vAlign w:val="center"/>
          </w:tcPr>
          <w:p w14:paraId="66EB480C">
            <w:pPr>
              <w:snapToGrid w:val="0"/>
              <w:spacing w:line="420" w:lineRule="exact"/>
              <w:rPr>
                <w:rFonts w:hint="eastAsia" w:ascii="宋体" w:hAnsi="宋体" w:cs="宋体"/>
                <w:szCs w:val="21"/>
              </w:rPr>
            </w:pPr>
            <w:r>
              <w:rPr>
                <w:rFonts w:hint="eastAsia" w:ascii="宋体" w:hAnsi="宋体" w:cs="宋体"/>
                <w:kern w:val="0"/>
              </w:rPr>
              <w:t>比选</w:t>
            </w:r>
            <w:r>
              <w:rPr>
                <w:rFonts w:ascii="宋体" w:hAnsi="宋体" w:cs="宋体"/>
                <w:kern w:val="0"/>
              </w:rPr>
              <w:t>报价：</w:t>
            </w:r>
            <w:r>
              <w:rPr>
                <w:rFonts w:hint="eastAsia" w:ascii="宋体" w:hAnsi="宋体" w:cs="宋体"/>
                <w:kern w:val="0"/>
                <w:u w:val="single"/>
              </w:rPr>
              <w:t>100</w:t>
            </w:r>
            <w:r>
              <w:rPr>
                <w:rFonts w:hint="eastAsia" w:ascii="宋体" w:hAnsi="宋体" w:cs="宋体"/>
                <w:kern w:val="0"/>
              </w:rPr>
              <w:t>分。</w:t>
            </w:r>
          </w:p>
        </w:tc>
      </w:tr>
      <w:tr w14:paraId="3F16E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53" w:type="dxa"/>
            <w:vMerge w:val="continue"/>
          </w:tcPr>
          <w:p w14:paraId="5824BE3B">
            <w:pPr>
              <w:spacing w:line="420" w:lineRule="exact"/>
              <w:ind w:left="113" w:right="113"/>
              <w:jc w:val="center"/>
              <w:rPr>
                <w:rFonts w:hint="eastAsia" w:ascii="宋体" w:hAnsi="宋体" w:cs="宋体"/>
              </w:rPr>
            </w:pPr>
          </w:p>
        </w:tc>
        <w:tc>
          <w:tcPr>
            <w:tcW w:w="553" w:type="dxa"/>
            <w:vMerge w:val="continue"/>
          </w:tcPr>
          <w:p w14:paraId="14A2C643">
            <w:pPr>
              <w:spacing w:line="420" w:lineRule="exact"/>
              <w:ind w:left="113" w:right="113"/>
              <w:jc w:val="center"/>
              <w:rPr>
                <w:rFonts w:hint="eastAsia" w:ascii="宋体" w:hAnsi="宋体" w:cs="宋体"/>
              </w:rPr>
            </w:pPr>
          </w:p>
        </w:tc>
        <w:tc>
          <w:tcPr>
            <w:tcW w:w="1560" w:type="dxa"/>
            <w:gridSpan w:val="2"/>
            <w:vAlign w:val="center"/>
          </w:tcPr>
          <w:p w14:paraId="439CB03D">
            <w:pPr>
              <w:spacing w:line="420" w:lineRule="exact"/>
              <w:ind w:left="113" w:right="113"/>
              <w:jc w:val="center"/>
              <w:rPr>
                <w:rFonts w:hint="eastAsia" w:ascii="宋体" w:hAnsi="宋体" w:cs="宋体"/>
              </w:rPr>
            </w:pPr>
            <w:r>
              <w:rPr>
                <w:rFonts w:ascii="宋体" w:hAnsi="宋体" w:cs="宋体"/>
              </w:rPr>
              <w:t>2.2.</w:t>
            </w:r>
            <w:r>
              <w:rPr>
                <w:rFonts w:hint="eastAsia" w:ascii="宋体" w:hAnsi="宋体" w:cs="宋体"/>
              </w:rPr>
              <w:t>2（A）</w:t>
            </w:r>
          </w:p>
        </w:tc>
        <w:tc>
          <w:tcPr>
            <w:tcW w:w="1710" w:type="dxa"/>
            <w:vAlign w:val="center"/>
          </w:tcPr>
          <w:p w14:paraId="6D21DAF7">
            <w:pPr>
              <w:spacing w:line="420" w:lineRule="exact"/>
              <w:jc w:val="center"/>
              <w:rPr>
                <w:rFonts w:hint="eastAsia" w:ascii="宋体" w:hAnsi="宋体" w:cs="宋体"/>
                <w:kern w:val="0"/>
              </w:rPr>
            </w:pPr>
            <w:r>
              <w:rPr>
                <w:rFonts w:hint="eastAsia" w:ascii="宋体" w:hAnsi="宋体" w:cs="宋体"/>
                <w:kern w:val="0"/>
              </w:rPr>
              <w:t>比选报价评分标准（</w:t>
            </w:r>
            <w:r>
              <w:rPr>
                <w:rFonts w:hint="eastAsia" w:ascii="宋体" w:hAnsi="宋体" w:cs="宋体"/>
                <w:kern w:val="0"/>
                <w:u w:val="single"/>
              </w:rPr>
              <w:t xml:space="preserve"> 100 </w:t>
            </w:r>
            <w:r>
              <w:rPr>
                <w:rFonts w:hint="eastAsia" w:ascii="宋体" w:hAnsi="宋体" w:cs="宋体"/>
                <w:kern w:val="0"/>
              </w:rPr>
              <w:t>分）</w:t>
            </w:r>
          </w:p>
        </w:tc>
        <w:tc>
          <w:tcPr>
            <w:tcW w:w="5400" w:type="dxa"/>
            <w:vAlign w:val="center"/>
          </w:tcPr>
          <w:p w14:paraId="1AE82FE1">
            <w:pPr>
              <w:spacing w:line="420" w:lineRule="exact"/>
              <w:ind w:firstLine="420" w:firstLineChars="200"/>
              <w:rPr>
                <w:rFonts w:hint="eastAsia" w:ascii="宋体" w:hAnsi="宋体"/>
                <w:szCs w:val="21"/>
              </w:rPr>
            </w:pPr>
            <w:r>
              <w:rPr>
                <w:rFonts w:hint="eastAsia" w:ascii="宋体" w:hAnsi="宋体"/>
                <w:szCs w:val="21"/>
              </w:rPr>
              <w:t>1.所有通过初步评审合格的比选供应商，</w:t>
            </w:r>
            <w:r>
              <w:rPr>
                <w:rFonts w:hint="eastAsia" w:ascii="宋体" w:hAnsi="宋体"/>
                <w:szCs w:val="21"/>
                <w:lang w:val="en-US" w:eastAsia="zh-CN"/>
              </w:rPr>
              <w:t>进行多轮谈判报价，直到谈到评审委员会认定的满意且合理的价格为止。最后一轮报价为最终报价，</w:t>
            </w:r>
            <w:r>
              <w:rPr>
                <w:rFonts w:hint="eastAsia" w:ascii="宋体" w:hAnsi="宋体"/>
                <w:szCs w:val="21"/>
              </w:rPr>
              <w:t>最</w:t>
            </w:r>
            <w:r>
              <w:rPr>
                <w:rFonts w:hint="eastAsia" w:ascii="宋体" w:hAnsi="宋体"/>
                <w:szCs w:val="21"/>
                <w:lang w:val="en-US" w:eastAsia="zh-CN"/>
              </w:rPr>
              <w:t>终</w:t>
            </w:r>
            <w:r>
              <w:rPr>
                <w:rFonts w:hint="eastAsia" w:ascii="宋体" w:hAnsi="宋体"/>
                <w:szCs w:val="21"/>
              </w:rPr>
              <w:t>报价最低的为比选报价的基准价。基准价计算的最终结果取小数点后两位，第三位四舍五入。在基准价计算完成后（除计算错误外），在后续的评审中不得再对其做出调整。</w:t>
            </w:r>
          </w:p>
          <w:p w14:paraId="061109FE">
            <w:pPr>
              <w:spacing w:line="420" w:lineRule="exact"/>
              <w:ind w:firstLine="420" w:firstLineChars="200"/>
              <w:rPr>
                <w:rFonts w:hint="eastAsia" w:ascii="宋体" w:hAnsi="宋体"/>
                <w:szCs w:val="21"/>
              </w:rPr>
            </w:pPr>
            <w:r>
              <w:rPr>
                <w:rFonts w:hint="eastAsia" w:ascii="宋体" w:hAnsi="宋体"/>
                <w:szCs w:val="21"/>
              </w:rPr>
              <w:t>2.所有通过初步评审合格的比选供应商的最</w:t>
            </w:r>
            <w:r>
              <w:rPr>
                <w:rFonts w:hint="eastAsia" w:ascii="宋体" w:hAnsi="宋体"/>
                <w:szCs w:val="21"/>
                <w:lang w:val="en-US" w:eastAsia="zh-CN"/>
              </w:rPr>
              <w:t>终</w:t>
            </w:r>
            <w:r>
              <w:rPr>
                <w:rFonts w:hint="eastAsia" w:ascii="宋体" w:hAnsi="宋体"/>
                <w:szCs w:val="21"/>
              </w:rPr>
              <w:t>报价得本项规定分值的满分100分。在此基础上，比选供应商的最</w:t>
            </w:r>
            <w:r>
              <w:rPr>
                <w:rFonts w:hint="eastAsia" w:ascii="宋体" w:hAnsi="宋体"/>
                <w:szCs w:val="21"/>
                <w:lang w:val="en-US" w:eastAsia="zh-CN"/>
              </w:rPr>
              <w:t>终</w:t>
            </w:r>
            <w:r>
              <w:rPr>
                <w:rFonts w:hint="eastAsia" w:ascii="宋体" w:hAnsi="宋体"/>
                <w:szCs w:val="21"/>
              </w:rPr>
              <w:t>报价与基准价相比，每增加1%扣1分，扣完为止。</w:t>
            </w:r>
          </w:p>
          <w:p w14:paraId="44C3D532">
            <w:pPr>
              <w:snapToGrid w:val="0"/>
              <w:spacing w:line="440" w:lineRule="atLeast"/>
              <w:ind w:firstLine="388" w:firstLineChars="185"/>
              <w:rPr>
                <w:rFonts w:hint="eastAsia" w:ascii="宋体" w:hAnsi="宋体" w:cs="宋体"/>
                <w:szCs w:val="22"/>
              </w:rPr>
            </w:pPr>
            <w:r>
              <w:rPr>
                <w:rFonts w:hint="eastAsia" w:ascii="宋体" w:hAnsi="宋体"/>
                <w:szCs w:val="21"/>
              </w:rPr>
              <w:t>3.按插入法计算得分。比选</w:t>
            </w:r>
            <w:r>
              <w:rPr>
                <w:rFonts w:hint="eastAsia" w:ascii="宋体" w:hAnsi="宋体"/>
                <w:szCs w:val="21"/>
                <w:lang w:val="en-US" w:eastAsia="zh-CN"/>
              </w:rPr>
              <w:t>最终报价</w:t>
            </w:r>
            <w:r>
              <w:rPr>
                <w:rFonts w:hint="eastAsia" w:ascii="宋体" w:hAnsi="宋体"/>
                <w:szCs w:val="21"/>
              </w:rPr>
              <w:t>得分结果取小数点后两位，第三位四舍五入</w:t>
            </w:r>
            <w:r>
              <w:rPr>
                <w:rFonts w:hint="eastAsia" w:ascii="宋体" w:hAnsi="宋体" w:cs="宋体"/>
                <w:szCs w:val="22"/>
              </w:rPr>
              <w:t>。</w:t>
            </w:r>
          </w:p>
          <w:p w14:paraId="37CDBE01">
            <w:pPr>
              <w:wordWrap w:val="0"/>
              <w:topLinePunct/>
              <w:snapToGrid w:val="0"/>
              <w:spacing w:line="400" w:lineRule="exact"/>
              <w:ind w:firstLine="420" w:firstLineChars="200"/>
              <w:rPr>
                <w:rFonts w:hint="eastAsia" w:ascii="宋体" w:hAnsi="宋体" w:cs="宋体"/>
                <w:b/>
                <w:kern w:val="0"/>
                <w:szCs w:val="21"/>
              </w:rPr>
            </w:pPr>
            <w:r>
              <w:rPr>
                <w:rFonts w:hint="eastAsia" w:ascii="宋体" w:hAnsi="宋体"/>
              </w:rPr>
              <w:t>4.偏差率计算公式：</w:t>
            </w:r>
            <w:r>
              <w:rPr>
                <w:rFonts w:hint="eastAsia" w:ascii="宋体" w:hAnsi="宋体" w:cs="宋体"/>
                <w:kern w:val="0"/>
                <w:szCs w:val="21"/>
              </w:rPr>
              <w:t>偏差率（％）</w:t>
            </w:r>
            <w:r>
              <w:rPr>
                <w:rFonts w:ascii="宋体" w:hAnsi="宋体" w:cs="宋体"/>
                <w:kern w:val="0"/>
                <w:szCs w:val="21"/>
              </w:rPr>
              <w:t>=1OO</w:t>
            </w:r>
            <w:r>
              <w:rPr>
                <w:rFonts w:hint="eastAsia" w:ascii="宋体" w:hAnsi="宋体" w:cs="宋体"/>
                <w:kern w:val="0"/>
                <w:szCs w:val="21"/>
              </w:rPr>
              <w:t>×</w:t>
            </w:r>
            <w:r>
              <w:rPr>
                <w:rFonts w:ascii="宋体" w:hAnsi="宋体" w:cs="宋体"/>
                <w:kern w:val="0"/>
                <w:szCs w:val="21"/>
              </w:rPr>
              <w:t>(</w:t>
            </w:r>
            <w:r>
              <w:rPr>
                <w:rFonts w:hint="eastAsia" w:ascii="宋体" w:hAnsi="宋体" w:cs="宋体"/>
                <w:kern w:val="0"/>
                <w:szCs w:val="21"/>
              </w:rPr>
              <w:t>比选供应商的</w:t>
            </w:r>
            <w:r>
              <w:rPr>
                <w:rFonts w:hint="eastAsia" w:ascii="宋体" w:hAnsi="宋体"/>
              </w:rPr>
              <w:t>“</w:t>
            </w:r>
            <w:r>
              <w:rPr>
                <w:rFonts w:hint="eastAsia" w:ascii="宋体" w:hAnsi="宋体" w:cs="宋体"/>
                <w:kern w:val="0"/>
                <w:szCs w:val="21"/>
              </w:rPr>
              <w:t>最</w:t>
            </w:r>
            <w:r>
              <w:rPr>
                <w:rFonts w:hint="eastAsia" w:ascii="宋体" w:hAnsi="宋体" w:cs="宋体"/>
                <w:kern w:val="0"/>
                <w:szCs w:val="21"/>
                <w:lang w:val="en-US" w:eastAsia="zh-CN"/>
              </w:rPr>
              <w:t>终</w:t>
            </w:r>
            <w:r>
              <w:rPr>
                <w:rFonts w:hint="eastAsia" w:ascii="宋体" w:hAnsi="宋体" w:cs="宋体"/>
                <w:kern w:val="0"/>
                <w:szCs w:val="21"/>
              </w:rPr>
              <w:t>报价</w:t>
            </w:r>
            <w:r>
              <w:rPr>
                <w:rFonts w:hint="eastAsia" w:ascii="宋体" w:hAnsi="宋体"/>
              </w:rPr>
              <w:t>”</w:t>
            </w:r>
            <w:r>
              <w:rPr>
                <w:rFonts w:hint="eastAsia" w:ascii="宋体" w:hAnsi="宋体" w:cs="宋体"/>
                <w:kern w:val="0"/>
                <w:szCs w:val="21"/>
              </w:rPr>
              <w:t>—评标基准价</w:t>
            </w:r>
            <w:r>
              <w:rPr>
                <w:rFonts w:ascii="宋体" w:hAnsi="宋体" w:cs="宋体"/>
                <w:kern w:val="0"/>
                <w:szCs w:val="21"/>
              </w:rPr>
              <w:t>)</w:t>
            </w:r>
            <w:r>
              <w:rPr>
                <w:rFonts w:hint="eastAsia" w:ascii="宋体" w:hAnsi="宋体" w:cs="宋体"/>
                <w:kern w:val="0"/>
                <w:szCs w:val="21"/>
              </w:rPr>
              <w:t>／评标基准价。</w:t>
            </w:r>
          </w:p>
        </w:tc>
      </w:tr>
      <w:tr w14:paraId="42F06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666" w:type="dxa"/>
            <w:gridSpan w:val="4"/>
          </w:tcPr>
          <w:p w14:paraId="6CEC9F03">
            <w:pPr>
              <w:spacing w:line="420" w:lineRule="exact"/>
              <w:ind w:left="113" w:right="113"/>
              <w:jc w:val="center"/>
              <w:rPr>
                <w:rFonts w:hint="eastAsia" w:ascii="宋体" w:hAnsi="宋体" w:cs="宋体"/>
                <w:b/>
                <w:bCs/>
              </w:rPr>
            </w:pPr>
            <w:r>
              <w:rPr>
                <w:rFonts w:hint="eastAsia" w:ascii="宋体" w:hAnsi="宋体" w:cs="宋体"/>
                <w:b/>
                <w:bCs/>
              </w:rPr>
              <w:t>条款号</w:t>
            </w:r>
          </w:p>
        </w:tc>
        <w:tc>
          <w:tcPr>
            <w:tcW w:w="1710" w:type="dxa"/>
            <w:vAlign w:val="center"/>
          </w:tcPr>
          <w:p w14:paraId="4C9D20F0">
            <w:pPr>
              <w:spacing w:line="420" w:lineRule="exact"/>
              <w:jc w:val="center"/>
              <w:rPr>
                <w:rFonts w:hint="eastAsia" w:ascii="宋体" w:hAnsi="宋体" w:cs="宋体"/>
                <w:b/>
                <w:bCs/>
                <w:kern w:val="0"/>
              </w:rPr>
            </w:pPr>
            <w:r>
              <w:rPr>
                <w:rFonts w:hint="eastAsia" w:ascii="宋体" w:hAnsi="宋体" w:cs="宋体"/>
                <w:b/>
                <w:bCs/>
                <w:kern w:val="0"/>
              </w:rPr>
              <w:t>条款名称</w:t>
            </w:r>
          </w:p>
        </w:tc>
        <w:tc>
          <w:tcPr>
            <w:tcW w:w="5400" w:type="dxa"/>
            <w:vAlign w:val="center"/>
          </w:tcPr>
          <w:p w14:paraId="430571ED">
            <w:pPr>
              <w:snapToGrid w:val="0"/>
              <w:spacing w:line="420" w:lineRule="exact"/>
              <w:ind w:firstLine="2741" w:firstLineChars="1300"/>
              <w:rPr>
                <w:rFonts w:hint="eastAsia" w:ascii="宋体" w:hAnsi="宋体" w:cs="宋体"/>
                <w:b/>
                <w:bCs/>
                <w:szCs w:val="21"/>
              </w:rPr>
            </w:pPr>
            <w:r>
              <w:rPr>
                <w:rFonts w:hint="eastAsia" w:ascii="宋体" w:hAnsi="宋体" w:cs="宋体"/>
                <w:b/>
                <w:bCs/>
                <w:szCs w:val="21"/>
              </w:rPr>
              <w:t>编列内容</w:t>
            </w:r>
          </w:p>
        </w:tc>
      </w:tr>
      <w:tr w14:paraId="34CCC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666" w:type="dxa"/>
            <w:gridSpan w:val="4"/>
            <w:vAlign w:val="center"/>
          </w:tcPr>
          <w:p w14:paraId="1C126D0F">
            <w:pPr>
              <w:spacing w:line="420" w:lineRule="exact"/>
              <w:ind w:left="113" w:right="113"/>
              <w:jc w:val="center"/>
              <w:rPr>
                <w:rFonts w:hint="eastAsia" w:ascii="宋体" w:hAnsi="宋体" w:cs="宋体"/>
              </w:rPr>
            </w:pPr>
            <w:r>
              <w:rPr>
                <w:rFonts w:ascii="宋体" w:hAnsi="宋体" w:cs="宋体"/>
              </w:rPr>
              <w:t>3</w:t>
            </w:r>
          </w:p>
        </w:tc>
        <w:tc>
          <w:tcPr>
            <w:tcW w:w="1710" w:type="dxa"/>
            <w:vAlign w:val="center"/>
          </w:tcPr>
          <w:p w14:paraId="09EEAB2C">
            <w:pPr>
              <w:spacing w:line="420" w:lineRule="exact"/>
              <w:jc w:val="center"/>
              <w:rPr>
                <w:rFonts w:hint="eastAsia" w:ascii="宋体" w:hAnsi="宋体" w:cs="宋体"/>
                <w:b/>
                <w:bCs/>
                <w:kern w:val="0"/>
              </w:rPr>
            </w:pPr>
            <w:r>
              <w:rPr>
                <w:rFonts w:hint="eastAsia" w:ascii="宋体" w:hAnsi="宋体"/>
              </w:rPr>
              <w:t>评标程序</w:t>
            </w:r>
          </w:p>
        </w:tc>
        <w:tc>
          <w:tcPr>
            <w:tcW w:w="5400" w:type="dxa"/>
            <w:vAlign w:val="center"/>
          </w:tcPr>
          <w:p w14:paraId="24297ED8">
            <w:pPr>
              <w:snapToGrid w:val="0"/>
              <w:spacing w:line="440" w:lineRule="atLeast"/>
              <w:ind w:firstLine="388" w:firstLineChars="185"/>
              <w:rPr>
                <w:rFonts w:hint="eastAsia" w:ascii="宋体" w:hAnsi="宋体"/>
                <w:szCs w:val="21"/>
              </w:rPr>
            </w:pPr>
            <w:r>
              <w:rPr>
                <w:rFonts w:hint="eastAsia" w:ascii="宋体" w:hAnsi="宋体"/>
                <w:szCs w:val="21"/>
              </w:rPr>
              <w:t>1</w:t>
            </w:r>
            <w:r>
              <w:rPr>
                <w:rFonts w:ascii="宋体" w:hAnsi="宋体"/>
                <w:szCs w:val="21"/>
              </w:rPr>
              <w:t>.初步评审合格的才进行</w:t>
            </w:r>
            <w:r>
              <w:rPr>
                <w:rFonts w:hint="eastAsia" w:ascii="宋体" w:hAnsi="宋体"/>
                <w:szCs w:val="21"/>
              </w:rPr>
              <w:t>比选</w:t>
            </w:r>
            <w:r>
              <w:rPr>
                <w:rFonts w:ascii="宋体" w:hAnsi="宋体"/>
                <w:szCs w:val="21"/>
              </w:rPr>
              <w:t>报价的评分。</w:t>
            </w:r>
          </w:p>
          <w:p w14:paraId="2D5AE8BD">
            <w:pPr>
              <w:spacing w:line="420" w:lineRule="exact"/>
              <w:ind w:firstLine="420" w:firstLineChars="200"/>
              <w:rPr>
                <w:rFonts w:ascii="宋体" w:hAnsi="宋体" w:cs="宋体"/>
                <w:b/>
                <w:bCs/>
                <w:szCs w:val="21"/>
                <w:u w:val="single"/>
              </w:rPr>
            </w:pPr>
            <w:r>
              <w:rPr>
                <w:rFonts w:hint="eastAsia" w:ascii="宋体" w:hAnsi="宋体"/>
                <w:szCs w:val="21"/>
              </w:rPr>
              <w:t>2</w:t>
            </w:r>
            <w:r>
              <w:rPr>
                <w:rFonts w:ascii="宋体" w:hAnsi="宋体"/>
                <w:szCs w:val="21"/>
              </w:rPr>
              <w:t>.</w:t>
            </w:r>
            <w:r>
              <w:rPr>
                <w:rFonts w:ascii="宋体" w:hAnsi="宋体" w:cs="宋体"/>
                <w:b/>
                <w:bCs/>
                <w:szCs w:val="21"/>
                <w:u w:val="single"/>
              </w:rPr>
              <w:t>评审委员会</w:t>
            </w:r>
            <w:r>
              <w:rPr>
                <w:rFonts w:hint="eastAsia" w:ascii="宋体" w:hAnsi="宋体" w:cs="宋体"/>
                <w:b/>
                <w:bCs/>
                <w:szCs w:val="21"/>
                <w:u w:val="single"/>
              </w:rPr>
              <w:t>基于专业判断，</w:t>
            </w:r>
            <w:r>
              <w:rPr>
                <w:rFonts w:ascii="宋体" w:hAnsi="宋体" w:cs="宋体"/>
                <w:b/>
                <w:bCs/>
                <w:szCs w:val="21"/>
                <w:u w:val="single"/>
              </w:rPr>
              <w:t>认为</w:t>
            </w:r>
            <w:r>
              <w:rPr>
                <w:rFonts w:hint="eastAsia" w:ascii="宋体" w:hAnsi="宋体" w:cs="宋体"/>
                <w:b/>
                <w:bCs/>
                <w:szCs w:val="21"/>
                <w:u w:val="single"/>
              </w:rPr>
              <w:t>供应商</w:t>
            </w:r>
            <w:r>
              <w:rPr>
                <w:rFonts w:ascii="宋体" w:hAnsi="宋体" w:cs="宋体"/>
                <w:b/>
                <w:bCs/>
                <w:szCs w:val="21"/>
                <w:u w:val="single"/>
              </w:rPr>
              <w:t>的</w:t>
            </w:r>
            <w:r>
              <w:rPr>
                <w:rFonts w:hint="eastAsia" w:ascii="宋体" w:hAnsi="宋体" w:cs="宋体"/>
                <w:b/>
                <w:bCs/>
                <w:szCs w:val="21"/>
                <w:u w:val="single"/>
                <w:lang w:val="en-US" w:eastAsia="zh-CN"/>
              </w:rPr>
              <w:t>最终</w:t>
            </w:r>
            <w:r>
              <w:rPr>
                <w:rFonts w:ascii="宋体" w:hAnsi="宋体" w:cs="宋体"/>
                <w:b/>
                <w:bCs/>
                <w:szCs w:val="21"/>
                <w:u w:val="single"/>
              </w:rPr>
              <w:t>报价明显低于其他通过符合性审查</w:t>
            </w:r>
            <w:r>
              <w:rPr>
                <w:rFonts w:hint="eastAsia" w:ascii="宋体" w:hAnsi="宋体" w:cs="宋体"/>
                <w:b/>
                <w:bCs/>
                <w:szCs w:val="21"/>
                <w:u w:val="single"/>
              </w:rPr>
              <w:t>供应商</w:t>
            </w:r>
            <w:r>
              <w:rPr>
                <w:rFonts w:ascii="宋体" w:hAnsi="宋体" w:cs="宋体"/>
                <w:b/>
                <w:bCs/>
                <w:szCs w:val="21"/>
                <w:u w:val="single"/>
              </w:rPr>
              <w:t>的报价，有可能影响产品质量或者不能诚信履约的，应当</w:t>
            </w:r>
            <w:r>
              <w:rPr>
                <w:rFonts w:hint="eastAsia" w:ascii="宋体" w:hAnsi="宋体" w:cs="宋体"/>
                <w:b/>
                <w:bCs/>
                <w:szCs w:val="21"/>
                <w:u w:val="single"/>
                <w:lang w:val="en-US" w:eastAsia="zh-CN"/>
              </w:rPr>
              <w:t>书面</w:t>
            </w:r>
            <w:r>
              <w:rPr>
                <w:rFonts w:ascii="宋体" w:hAnsi="宋体" w:cs="宋体"/>
                <w:b/>
                <w:bCs/>
                <w:szCs w:val="21"/>
                <w:u w:val="single"/>
              </w:rPr>
              <w:t>要求其在评标现场合理的时间内提供书面说明，相关证明材料</w:t>
            </w:r>
            <w:r>
              <w:rPr>
                <w:rFonts w:hint="eastAsia" w:ascii="宋体" w:hAnsi="宋体" w:cs="宋体"/>
                <w:b/>
                <w:bCs/>
                <w:szCs w:val="21"/>
                <w:u w:val="single"/>
                <w:lang w:val="en-US" w:eastAsia="zh-CN"/>
              </w:rPr>
              <w:t>可附在书面说明后</w:t>
            </w:r>
            <w:r>
              <w:rPr>
                <w:rFonts w:ascii="宋体" w:hAnsi="宋体" w:cs="宋体"/>
                <w:b/>
                <w:bCs/>
                <w:szCs w:val="21"/>
                <w:u w:val="single"/>
              </w:rPr>
              <w:t>;</w:t>
            </w:r>
            <w:r>
              <w:rPr>
                <w:rFonts w:hint="eastAsia" w:ascii="宋体" w:hAnsi="宋体" w:cs="宋体"/>
                <w:b/>
                <w:bCs/>
                <w:szCs w:val="21"/>
                <w:u w:val="single"/>
              </w:rPr>
              <w:t xml:space="preserve"> 供应商</w:t>
            </w:r>
            <w:r>
              <w:rPr>
                <w:rFonts w:ascii="宋体" w:hAnsi="宋体" w:cs="宋体"/>
                <w:b/>
                <w:bCs/>
                <w:szCs w:val="21"/>
                <w:u w:val="single"/>
              </w:rPr>
              <w:t>不能证明其报价合理性的，评审委员会应当将其作为无效</w:t>
            </w:r>
            <w:r>
              <w:rPr>
                <w:rFonts w:hint="eastAsia" w:ascii="宋体" w:hAnsi="宋体" w:cs="宋体"/>
                <w:b/>
                <w:bCs/>
                <w:szCs w:val="21"/>
                <w:u w:val="single"/>
              </w:rPr>
              <w:t>响应</w:t>
            </w:r>
            <w:r>
              <w:rPr>
                <w:rFonts w:ascii="宋体" w:hAnsi="宋体" w:cs="宋体"/>
                <w:b/>
                <w:bCs/>
                <w:szCs w:val="21"/>
                <w:u w:val="single"/>
              </w:rPr>
              <w:t>处理。</w:t>
            </w:r>
          </w:p>
          <w:p w14:paraId="66F3DF5C">
            <w:pPr>
              <w:spacing w:line="420" w:lineRule="exact"/>
              <w:ind w:firstLine="420" w:firstLineChars="200"/>
              <w:rPr>
                <w:rFonts w:hint="eastAsia"/>
                <w:b/>
                <w:bCs/>
                <w:u w:val="single"/>
              </w:rPr>
            </w:pPr>
            <w:r>
              <w:rPr>
                <w:rFonts w:hint="eastAsia" w:ascii="宋体" w:hAnsi="宋体" w:cs="宋体"/>
                <w:szCs w:val="21"/>
              </w:rPr>
              <w:t>3.</w:t>
            </w:r>
            <w:r>
              <w:rPr>
                <w:rFonts w:ascii="宋体" w:hAnsi="宋体"/>
                <w:szCs w:val="21"/>
              </w:rPr>
              <w:t>根据得分由高至低进行排序，</w:t>
            </w:r>
            <w:r>
              <w:rPr>
                <w:rFonts w:hint="eastAsia" w:ascii="宋体" w:hAnsi="宋体" w:cs="宋体"/>
                <w:szCs w:val="21"/>
              </w:rPr>
              <w:t>推荐排名前三名的</w:t>
            </w:r>
            <w:r>
              <w:rPr>
                <w:rFonts w:hint="eastAsia" w:ascii="宋体" w:hAnsi="宋体"/>
                <w:szCs w:val="21"/>
              </w:rPr>
              <w:t>比选供应商的</w:t>
            </w:r>
            <w:r>
              <w:rPr>
                <w:rFonts w:hint="eastAsia" w:ascii="宋体" w:hAnsi="宋体" w:cs="宋体"/>
                <w:szCs w:val="21"/>
              </w:rPr>
              <w:t>为中选候选人。</w:t>
            </w:r>
          </w:p>
        </w:tc>
      </w:tr>
      <w:bookmarkEnd w:id="688"/>
    </w:tbl>
    <w:p w14:paraId="00BD42CE"/>
    <w:p w14:paraId="77B877EE">
      <w:pPr>
        <w:autoSpaceDE w:val="0"/>
        <w:autoSpaceDN w:val="0"/>
        <w:adjustRightInd w:val="0"/>
        <w:snapToGrid w:val="0"/>
        <w:spacing w:line="400" w:lineRule="exact"/>
        <w:jc w:val="left"/>
        <w:outlineLvl w:val="1"/>
        <w:rPr>
          <w:rFonts w:hint="eastAsia" w:ascii="宋体" w:hAnsi="宋体"/>
          <w:b/>
          <w:spacing w:val="1"/>
          <w:w w:val="99"/>
          <w:kern w:val="0"/>
          <w:sz w:val="28"/>
          <w:szCs w:val="32"/>
        </w:rPr>
      </w:pPr>
      <w:bookmarkStart w:id="690" w:name="_Toc18777"/>
      <w:bookmarkStart w:id="691" w:name="_Toc9929"/>
      <w:bookmarkStart w:id="692" w:name="_Toc22355"/>
      <w:bookmarkStart w:id="693" w:name="_Toc20783"/>
      <w:r>
        <w:rPr>
          <w:rFonts w:ascii="宋体" w:hAnsi="宋体"/>
          <w:b/>
          <w:spacing w:val="1"/>
          <w:w w:val="99"/>
          <w:kern w:val="0"/>
          <w:sz w:val="28"/>
          <w:szCs w:val="32"/>
        </w:rPr>
        <w:t xml:space="preserve">1. </w:t>
      </w:r>
      <w:r>
        <w:rPr>
          <w:rFonts w:hint="eastAsia" w:ascii="宋体" w:hAnsi="宋体"/>
          <w:b/>
          <w:spacing w:val="1"/>
          <w:w w:val="99"/>
          <w:kern w:val="0"/>
          <w:sz w:val="28"/>
          <w:szCs w:val="32"/>
        </w:rPr>
        <w:t>评审方法</w:t>
      </w:r>
      <w:bookmarkEnd w:id="659"/>
      <w:bookmarkEnd w:id="660"/>
      <w:bookmarkEnd w:id="661"/>
      <w:bookmarkEnd w:id="662"/>
      <w:bookmarkEnd w:id="663"/>
      <w:bookmarkEnd w:id="664"/>
      <w:bookmarkEnd w:id="665"/>
      <w:bookmarkEnd w:id="666"/>
      <w:bookmarkEnd w:id="667"/>
      <w:bookmarkEnd w:id="690"/>
      <w:bookmarkEnd w:id="691"/>
      <w:bookmarkEnd w:id="692"/>
      <w:bookmarkEnd w:id="693"/>
    </w:p>
    <w:p w14:paraId="7ADDCDE9">
      <w:pPr>
        <w:autoSpaceDE w:val="0"/>
        <w:autoSpaceDN w:val="0"/>
        <w:adjustRightInd w:val="0"/>
        <w:snapToGrid w:val="0"/>
        <w:spacing w:line="400" w:lineRule="exact"/>
        <w:ind w:firstLine="420"/>
        <w:rPr>
          <w:rFonts w:hint="eastAsia" w:ascii="宋体" w:hAnsi="宋体" w:cs="MingLiU"/>
          <w:kern w:val="0"/>
          <w:szCs w:val="21"/>
        </w:rPr>
      </w:pPr>
      <w:r>
        <w:rPr>
          <w:rFonts w:hint="eastAsia" w:ascii="宋体" w:hAnsi="宋体" w:cs="MingLiU"/>
          <w:kern w:val="0"/>
          <w:szCs w:val="21"/>
        </w:rPr>
        <w:t>本次评审采用经评审的最低价法。</w:t>
      </w:r>
    </w:p>
    <w:p w14:paraId="2A3150F7">
      <w:pPr>
        <w:autoSpaceDE w:val="0"/>
        <w:autoSpaceDN w:val="0"/>
        <w:adjustRightInd w:val="0"/>
        <w:snapToGrid w:val="0"/>
        <w:spacing w:line="400" w:lineRule="exact"/>
        <w:jc w:val="left"/>
        <w:outlineLvl w:val="1"/>
        <w:rPr>
          <w:rFonts w:hint="eastAsia" w:ascii="宋体" w:hAnsi="宋体"/>
          <w:b/>
          <w:spacing w:val="1"/>
          <w:w w:val="99"/>
          <w:kern w:val="0"/>
          <w:sz w:val="28"/>
          <w:szCs w:val="32"/>
        </w:rPr>
      </w:pPr>
      <w:bookmarkStart w:id="694" w:name="_Toc1251"/>
      <w:bookmarkStart w:id="695" w:name="_Toc312325921"/>
      <w:bookmarkStart w:id="696" w:name="_Toc10790"/>
      <w:bookmarkStart w:id="697" w:name="_Toc312326134"/>
      <w:bookmarkStart w:id="698" w:name="_Toc200513199"/>
      <w:bookmarkStart w:id="699" w:name="_Toc101780690"/>
      <w:bookmarkStart w:id="700" w:name="_Toc312326008"/>
      <w:bookmarkStart w:id="701" w:name="_Toc148061397"/>
      <w:bookmarkStart w:id="702" w:name="_Toc310932702"/>
      <w:bookmarkStart w:id="703" w:name="_Toc478841576"/>
      <w:bookmarkStart w:id="704" w:name="_Toc224103385"/>
      <w:bookmarkStart w:id="705" w:name="_Toc29580"/>
      <w:bookmarkStart w:id="706" w:name="_Toc132"/>
      <w:r>
        <w:rPr>
          <w:rFonts w:ascii="宋体" w:hAnsi="宋体"/>
          <w:b/>
          <w:spacing w:val="1"/>
          <w:w w:val="99"/>
          <w:kern w:val="0"/>
          <w:sz w:val="28"/>
          <w:szCs w:val="32"/>
        </w:rPr>
        <w:t xml:space="preserve">2. </w:t>
      </w:r>
      <w:r>
        <w:rPr>
          <w:rFonts w:hint="eastAsia" w:ascii="宋体" w:hAnsi="宋体"/>
          <w:b/>
          <w:spacing w:val="1"/>
          <w:w w:val="99"/>
          <w:kern w:val="0"/>
          <w:sz w:val="28"/>
          <w:szCs w:val="32"/>
        </w:rPr>
        <w:t>评审标准</w:t>
      </w:r>
      <w:bookmarkEnd w:id="694"/>
      <w:bookmarkEnd w:id="695"/>
      <w:bookmarkEnd w:id="696"/>
      <w:bookmarkEnd w:id="697"/>
      <w:bookmarkEnd w:id="698"/>
      <w:bookmarkEnd w:id="699"/>
      <w:bookmarkEnd w:id="700"/>
      <w:bookmarkEnd w:id="701"/>
      <w:bookmarkEnd w:id="702"/>
      <w:bookmarkEnd w:id="703"/>
      <w:bookmarkEnd w:id="704"/>
      <w:bookmarkEnd w:id="705"/>
      <w:bookmarkEnd w:id="706"/>
    </w:p>
    <w:p w14:paraId="40FBEE2B">
      <w:pPr>
        <w:autoSpaceDE w:val="0"/>
        <w:autoSpaceDN w:val="0"/>
        <w:adjustRightInd w:val="0"/>
        <w:spacing w:before="16" w:line="400" w:lineRule="exact"/>
        <w:jc w:val="left"/>
        <w:outlineLvl w:val="2"/>
        <w:rPr>
          <w:rFonts w:hint="eastAsia" w:ascii="宋体" w:hAnsi="宋体"/>
          <w:b/>
          <w:kern w:val="0"/>
          <w:sz w:val="24"/>
          <w:szCs w:val="28"/>
        </w:rPr>
      </w:pPr>
      <w:bookmarkStart w:id="707" w:name="_Toc29389"/>
      <w:bookmarkStart w:id="708" w:name="_Toc32664"/>
      <w:bookmarkStart w:id="709" w:name="_Toc310932703"/>
      <w:bookmarkStart w:id="710" w:name="_Toc5720"/>
      <w:bookmarkStart w:id="711" w:name="_Toc6197"/>
      <w:bookmarkStart w:id="712" w:name="_Toc200513200"/>
      <w:bookmarkStart w:id="713" w:name="_Toc148061398"/>
      <w:bookmarkStart w:id="714" w:name="_Toc224103386"/>
      <w:r>
        <w:rPr>
          <w:rFonts w:ascii="宋体" w:hAnsi="宋体"/>
          <w:b/>
          <w:kern w:val="0"/>
          <w:sz w:val="24"/>
          <w:szCs w:val="28"/>
        </w:rPr>
        <w:t xml:space="preserve">2.1  </w:t>
      </w:r>
      <w:r>
        <w:rPr>
          <w:rFonts w:hint="eastAsia" w:ascii="宋体" w:hAnsi="宋体"/>
          <w:b/>
          <w:kern w:val="0"/>
          <w:sz w:val="24"/>
          <w:szCs w:val="28"/>
        </w:rPr>
        <w:t>初步评审标准</w:t>
      </w:r>
      <w:bookmarkEnd w:id="707"/>
      <w:bookmarkEnd w:id="708"/>
      <w:bookmarkEnd w:id="709"/>
      <w:bookmarkEnd w:id="710"/>
      <w:bookmarkEnd w:id="711"/>
      <w:bookmarkEnd w:id="712"/>
      <w:bookmarkEnd w:id="713"/>
      <w:bookmarkEnd w:id="714"/>
    </w:p>
    <w:p w14:paraId="1BECCAAE">
      <w:pPr>
        <w:autoSpaceDE w:val="0"/>
        <w:autoSpaceDN w:val="0"/>
        <w:adjustRightInd w:val="0"/>
        <w:snapToGrid w:val="0"/>
        <w:spacing w:line="400" w:lineRule="exact"/>
        <w:ind w:left="1" w:firstLine="535" w:firstLineChars="255"/>
        <w:jc w:val="left"/>
        <w:rPr>
          <w:rFonts w:hint="eastAsia" w:ascii="宋体" w:hAnsi="宋体"/>
          <w:b/>
          <w:i/>
          <w:kern w:val="0"/>
          <w:szCs w:val="21"/>
          <w:u w:val="single"/>
        </w:rPr>
      </w:pPr>
      <w:r>
        <w:rPr>
          <w:rFonts w:ascii="宋体" w:hAnsi="宋体"/>
          <w:kern w:val="0"/>
          <w:szCs w:val="21"/>
        </w:rPr>
        <w:t xml:space="preserve">2.1.1  </w:t>
      </w:r>
      <w:r>
        <w:rPr>
          <w:rFonts w:hint="eastAsia" w:ascii="宋体" w:hAnsi="宋体"/>
          <w:kern w:val="0"/>
          <w:szCs w:val="21"/>
        </w:rPr>
        <w:t>形式评审标准：</w:t>
      </w:r>
      <w:r>
        <w:rPr>
          <w:rFonts w:hint="eastAsia" w:ascii="宋体" w:hAnsi="宋体"/>
          <w:b/>
          <w:i/>
          <w:kern w:val="0"/>
          <w:szCs w:val="21"/>
          <w:u w:val="single"/>
        </w:rPr>
        <w:t>见评审办法前附表。</w:t>
      </w:r>
    </w:p>
    <w:p w14:paraId="66282DA1">
      <w:pPr>
        <w:autoSpaceDE w:val="0"/>
        <w:autoSpaceDN w:val="0"/>
        <w:adjustRightInd w:val="0"/>
        <w:snapToGrid w:val="0"/>
        <w:spacing w:line="400" w:lineRule="exact"/>
        <w:ind w:left="1" w:firstLine="535" w:firstLineChars="255"/>
        <w:jc w:val="left"/>
        <w:rPr>
          <w:rFonts w:hint="eastAsia" w:ascii="宋体" w:hAnsi="宋体"/>
          <w:kern w:val="0"/>
          <w:szCs w:val="21"/>
        </w:rPr>
      </w:pPr>
      <w:r>
        <w:rPr>
          <w:rFonts w:ascii="宋体" w:hAnsi="宋体"/>
          <w:kern w:val="0"/>
          <w:szCs w:val="21"/>
        </w:rPr>
        <w:t xml:space="preserve">2.1.2  </w:t>
      </w:r>
      <w:r>
        <w:rPr>
          <w:rFonts w:hint="eastAsia" w:ascii="宋体" w:hAnsi="宋体"/>
          <w:kern w:val="0"/>
          <w:szCs w:val="21"/>
        </w:rPr>
        <w:t>资格评审标准：</w:t>
      </w:r>
      <w:r>
        <w:rPr>
          <w:rFonts w:hint="eastAsia" w:ascii="宋体" w:hAnsi="宋体"/>
          <w:b/>
          <w:i/>
          <w:kern w:val="0"/>
          <w:szCs w:val="21"/>
          <w:u w:val="single"/>
        </w:rPr>
        <w:t>见评审办法前附表</w:t>
      </w:r>
      <w:r>
        <w:rPr>
          <w:rFonts w:hint="eastAsia" w:ascii="宋体" w:hAnsi="宋体"/>
          <w:kern w:val="0"/>
          <w:szCs w:val="21"/>
          <w:u w:val="single"/>
        </w:rPr>
        <w:t>。</w:t>
      </w:r>
    </w:p>
    <w:p w14:paraId="2E6B7113">
      <w:pPr>
        <w:autoSpaceDE w:val="0"/>
        <w:autoSpaceDN w:val="0"/>
        <w:adjustRightInd w:val="0"/>
        <w:snapToGrid w:val="0"/>
        <w:spacing w:line="400" w:lineRule="exact"/>
        <w:ind w:left="1" w:firstLine="535" w:firstLineChars="255"/>
        <w:jc w:val="left"/>
        <w:rPr>
          <w:rFonts w:hint="eastAsia" w:ascii="宋体" w:hAnsi="宋体"/>
          <w:b/>
          <w:i/>
          <w:kern w:val="0"/>
          <w:szCs w:val="21"/>
          <w:u w:val="single"/>
        </w:rPr>
      </w:pPr>
      <w:r>
        <w:rPr>
          <w:rFonts w:ascii="宋体" w:hAnsi="宋体"/>
          <w:kern w:val="0"/>
          <w:szCs w:val="21"/>
        </w:rPr>
        <w:t xml:space="preserve">2.1.3  </w:t>
      </w:r>
      <w:r>
        <w:rPr>
          <w:rFonts w:hint="eastAsia" w:ascii="宋体" w:hAnsi="宋体"/>
          <w:kern w:val="0"/>
          <w:szCs w:val="21"/>
        </w:rPr>
        <w:t>响应性评审标准：</w:t>
      </w:r>
      <w:r>
        <w:rPr>
          <w:rFonts w:hint="eastAsia" w:ascii="宋体" w:hAnsi="宋体"/>
          <w:b/>
          <w:i/>
          <w:kern w:val="0"/>
          <w:szCs w:val="21"/>
          <w:u w:val="single"/>
        </w:rPr>
        <w:t>见评审办法前附表。</w:t>
      </w:r>
    </w:p>
    <w:p w14:paraId="6ADDBBD8">
      <w:pPr>
        <w:autoSpaceDE w:val="0"/>
        <w:autoSpaceDN w:val="0"/>
        <w:adjustRightInd w:val="0"/>
        <w:snapToGrid w:val="0"/>
        <w:spacing w:line="400" w:lineRule="exact"/>
        <w:ind w:left="1" w:firstLine="535" w:firstLineChars="255"/>
        <w:jc w:val="left"/>
        <w:rPr>
          <w:rFonts w:hint="eastAsia" w:ascii="宋体" w:hAnsi="宋体"/>
          <w:b/>
          <w:i/>
          <w:kern w:val="0"/>
          <w:szCs w:val="21"/>
          <w:u w:val="single"/>
        </w:rPr>
      </w:pPr>
      <w:r>
        <w:rPr>
          <w:rFonts w:hint="eastAsia" w:hAnsi="宋体"/>
          <w:kern w:val="0"/>
          <w:szCs w:val="21"/>
        </w:rPr>
        <w:t>没有通过初步评审的响应文件，按否决处理，不得进入详细评审。</w:t>
      </w:r>
    </w:p>
    <w:p w14:paraId="577C346B">
      <w:pPr>
        <w:autoSpaceDE w:val="0"/>
        <w:autoSpaceDN w:val="0"/>
        <w:adjustRightInd w:val="0"/>
        <w:spacing w:before="16" w:line="400" w:lineRule="exact"/>
        <w:jc w:val="left"/>
        <w:outlineLvl w:val="2"/>
        <w:rPr>
          <w:rFonts w:hint="eastAsia" w:ascii="宋体" w:hAnsi="宋体"/>
          <w:b/>
          <w:kern w:val="0"/>
          <w:sz w:val="24"/>
          <w:szCs w:val="28"/>
        </w:rPr>
      </w:pPr>
      <w:bookmarkStart w:id="715" w:name="_Toc5664"/>
      <w:bookmarkStart w:id="716" w:name="_Toc310932704"/>
      <w:bookmarkStart w:id="717" w:name="_Toc16953"/>
      <w:bookmarkStart w:id="718" w:name="_Toc26606"/>
      <w:bookmarkStart w:id="719" w:name="_Toc224103387"/>
      <w:bookmarkStart w:id="720" w:name="_Toc200513201"/>
      <w:bookmarkStart w:id="721" w:name="_Toc9087"/>
      <w:bookmarkStart w:id="722" w:name="_Toc148061399"/>
      <w:r>
        <w:rPr>
          <w:rFonts w:ascii="宋体" w:hAnsi="宋体"/>
          <w:b/>
          <w:kern w:val="0"/>
          <w:sz w:val="24"/>
          <w:szCs w:val="28"/>
        </w:rPr>
        <w:t xml:space="preserve">2.2  </w:t>
      </w:r>
      <w:r>
        <w:rPr>
          <w:rFonts w:hint="eastAsia" w:ascii="宋体" w:hAnsi="宋体"/>
          <w:b/>
          <w:kern w:val="0"/>
          <w:sz w:val="24"/>
          <w:szCs w:val="28"/>
        </w:rPr>
        <w:t>分值构成与评分标准</w:t>
      </w:r>
      <w:bookmarkEnd w:id="715"/>
      <w:bookmarkEnd w:id="716"/>
      <w:bookmarkEnd w:id="717"/>
      <w:bookmarkEnd w:id="718"/>
      <w:bookmarkEnd w:id="719"/>
      <w:bookmarkEnd w:id="720"/>
      <w:bookmarkEnd w:id="721"/>
      <w:bookmarkEnd w:id="722"/>
    </w:p>
    <w:p w14:paraId="52F3DCE3">
      <w:pPr>
        <w:autoSpaceDE w:val="0"/>
        <w:autoSpaceDN w:val="0"/>
        <w:adjustRightInd w:val="0"/>
        <w:snapToGrid w:val="0"/>
        <w:spacing w:line="400" w:lineRule="exact"/>
        <w:ind w:left="1" w:firstLine="535" w:firstLineChars="255"/>
        <w:jc w:val="left"/>
        <w:rPr>
          <w:rFonts w:hint="eastAsia" w:ascii="宋体" w:hAnsi="宋体"/>
          <w:kern w:val="0"/>
          <w:szCs w:val="21"/>
        </w:rPr>
      </w:pPr>
      <w:r>
        <w:rPr>
          <w:rFonts w:ascii="宋体" w:hAnsi="宋体"/>
          <w:kern w:val="0"/>
          <w:szCs w:val="21"/>
        </w:rPr>
        <w:t xml:space="preserve">2.2.1  </w:t>
      </w:r>
      <w:r>
        <w:rPr>
          <w:rFonts w:hint="eastAsia" w:ascii="宋体" w:hAnsi="宋体"/>
          <w:kern w:val="0"/>
          <w:szCs w:val="21"/>
        </w:rPr>
        <w:t>分值构成</w:t>
      </w:r>
    </w:p>
    <w:p w14:paraId="706DDF82">
      <w:pPr>
        <w:autoSpaceDE w:val="0"/>
        <w:autoSpaceDN w:val="0"/>
        <w:adjustRightInd w:val="0"/>
        <w:snapToGrid w:val="0"/>
        <w:spacing w:line="400" w:lineRule="exact"/>
        <w:ind w:left="898" w:leftChars="258" w:hanging="356" w:hangingChars="169"/>
        <w:jc w:val="left"/>
        <w:rPr>
          <w:rFonts w:hint="eastAsia" w:ascii="宋体" w:hAnsi="宋体" w:cs="MingLiU"/>
          <w:b/>
          <w:i/>
          <w:kern w:val="0"/>
          <w:szCs w:val="21"/>
          <w:u w:val="single"/>
        </w:rPr>
      </w:pPr>
      <w:r>
        <w:rPr>
          <w:rFonts w:hint="eastAsia" w:ascii="宋体" w:hAnsi="宋体" w:cs="MingLiU"/>
          <w:b/>
          <w:i/>
          <w:kern w:val="0"/>
          <w:szCs w:val="21"/>
          <w:u w:val="single"/>
        </w:rPr>
        <w:t>见评审办法前附表。</w:t>
      </w:r>
    </w:p>
    <w:p w14:paraId="42245F69">
      <w:pPr>
        <w:autoSpaceDE w:val="0"/>
        <w:autoSpaceDN w:val="0"/>
        <w:adjustRightInd w:val="0"/>
        <w:snapToGrid w:val="0"/>
        <w:spacing w:line="400" w:lineRule="exact"/>
        <w:ind w:left="1" w:firstLine="535" w:firstLineChars="255"/>
        <w:jc w:val="left"/>
        <w:rPr>
          <w:rFonts w:hint="eastAsia" w:ascii="宋体" w:hAnsi="宋体"/>
          <w:kern w:val="0"/>
          <w:szCs w:val="21"/>
        </w:rPr>
      </w:pPr>
      <w:r>
        <w:rPr>
          <w:rFonts w:ascii="宋体" w:hAnsi="宋体"/>
          <w:kern w:val="0"/>
          <w:szCs w:val="21"/>
        </w:rPr>
        <w:t>2.2.</w:t>
      </w:r>
      <w:r>
        <w:rPr>
          <w:rFonts w:hint="eastAsia" w:ascii="宋体" w:hAnsi="宋体"/>
          <w:kern w:val="0"/>
          <w:szCs w:val="21"/>
        </w:rPr>
        <w:t>2</w:t>
      </w:r>
      <w:r>
        <w:rPr>
          <w:rFonts w:ascii="宋体" w:hAnsi="宋体"/>
          <w:kern w:val="0"/>
          <w:szCs w:val="21"/>
        </w:rPr>
        <w:t xml:space="preserve">  </w:t>
      </w:r>
      <w:r>
        <w:rPr>
          <w:rFonts w:hint="eastAsia" w:ascii="宋体" w:hAnsi="宋体"/>
          <w:kern w:val="0"/>
          <w:szCs w:val="21"/>
        </w:rPr>
        <w:t>比选报价评分标准：</w:t>
      </w:r>
      <w:r>
        <w:rPr>
          <w:rFonts w:hint="eastAsia" w:ascii="宋体" w:hAnsi="宋体" w:cs="MingLiU"/>
          <w:b/>
          <w:i/>
          <w:kern w:val="0"/>
          <w:szCs w:val="21"/>
          <w:u w:val="single"/>
        </w:rPr>
        <w:t>见评审办法前附表。</w:t>
      </w:r>
    </w:p>
    <w:p w14:paraId="086D0941">
      <w:pPr>
        <w:autoSpaceDE w:val="0"/>
        <w:autoSpaceDN w:val="0"/>
        <w:adjustRightInd w:val="0"/>
        <w:snapToGrid w:val="0"/>
        <w:spacing w:line="400" w:lineRule="exact"/>
        <w:jc w:val="left"/>
        <w:outlineLvl w:val="1"/>
        <w:rPr>
          <w:rFonts w:hint="eastAsia" w:ascii="宋体" w:hAnsi="宋体"/>
          <w:b/>
          <w:spacing w:val="1"/>
          <w:w w:val="99"/>
          <w:kern w:val="0"/>
          <w:sz w:val="28"/>
          <w:szCs w:val="32"/>
        </w:rPr>
      </w:pPr>
      <w:bookmarkStart w:id="723" w:name="_Toc101780691"/>
      <w:bookmarkStart w:id="724" w:name="_Toc148061400"/>
      <w:bookmarkStart w:id="725" w:name="_Toc224103388"/>
      <w:bookmarkStart w:id="726" w:name="_Toc18344"/>
      <w:bookmarkStart w:id="727" w:name="_Toc310932705"/>
      <w:bookmarkStart w:id="728" w:name="_Toc312325922"/>
      <w:bookmarkStart w:id="729" w:name="_Toc14035"/>
      <w:bookmarkStart w:id="730" w:name="_Toc5077"/>
      <w:bookmarkStart w:id="731" w:name="_Toc6104"/>
      <w:bookmarkStart w:id="732" w:name="_Toc312326135"/>
      <w:bookmarkStart w:id="733" w:name="_Toc200513202"/>
      <w:bookmarkStart w:id="734" w:name="_Toc478841577"/>
      <w:bookmarkStart w:id="735" w:name="_Toc312326009"/>
      <w:r>
        <w:rPr>
          <w:rFonts w:ascii="宋体" w:hAnsi="宋体"/>
          <w:b/>
          <w:spacing w:val="1"/>
          <w:w w:val="99"/>
          <w:kern w:val="0"/>
          <w:sz w:val="28"/>
          <w:szCs w:val="32"/>
        </w:rPr>
        <w:t xml:space="preserve">3. </w:t>
      </w:r>
      <w:r>
        <w:rPr>
          <w:rFonts w:hint="eastAsia" w:ascii="宋体" w:hAnsi="宋体"/>
          <w:b/>
          <w:spacing w:val="1"/>
          <w:w w:val="99"/>
          <w:kern w:val="0"/>
          <w:sz w:val="28"/>
          <w:szCs w:val="32"/>
        </w:rPr>
        <w:t>评审程序</w:t>
      </w:r>
      <w:bookmarkEnd w:id="723"/>
      <w:bookmarkEnd w:id="724"/>
      <w:bookmarkEnd w:id="725"/>
      <w:bookmarkEnd w:id="726"/>
      <w:bookmarkEnd w:id="727"/>
      <w:bookmarkEnd w:id="728"/>
      <w:bookmarkEnd w:id="729"/>
      <w:bookmarkEnd w:id="730"/>
      <w:bookmarkEnd w:id="731"/>
      <w:bookmarkEnd w:id="732"/>
      <w:bookmarkEnd w:id="733"/>
      <w:bookmarkEnd w:id="734"/>
      <w:bookmarkEnd w:id="735"/>
    </w:p>
    <w:p w14:paraId="5A08A860">
      <w:pPr>
        <w:autoSpaceDE w:val="0"/>
        <w:autoSpaceDN w:val="0"/>
        <w:adjustRightInd w:val="0"/>
        <w:spacing w:before="16" w:line="400" w:lineRule="exact"/>
        <w:jc w:val="left"/>
        <w:outlineLvl w:val="2"/>
        <w:rPr>
          <w:rFonts w:hint="eastAsia" w:ascii="宋体" w:hAnsi="宋体"/>
          <w:b/>
          <w:kern w:val="0"/>
          <w:sz w:val="24"/>
          <w:szCs w:val="28"/>
        </w:rPr>
      </w:pPr>
      <w:bookmarkStart w:id="736" w:name="_Toc9352"/>
      <w:bookmarkStart w:id="737" w:name="_Toc1989"/>
      <w:bookmarkStart w:id="738" w:name="_Toc224103389"/>
      <w:bookmarkStart w:id="739" w:name="_Toc310932706"/>
      <w:bookmarkStart w:id="740" w:name="_Toc200513203"/>
      <w:bookmarkStart w:id="741" w:name="_Toc148061401"/>
      <w:bookmarkStart w:id="742" w:name="_Toc28484"/>
      <w:bookmarkStart w:id="743" w:name="_Toc17116"/>
      <w:r>
        <w:rPr>
          <w:rFonts w:ascii="宋体" w:hAnsi="宋体"/>
          <w:b/>
          <w:kern w:val="0"/>
          <w:sz w:val="24"/>
          <w:szCs w:val="28"/>
        </w:rPr>
        <w:t xml:space="preserve">3.1  </w:t>
      </w:r>
      <w:r>
        <w:rPr>
          <w:rFonts w:hint="eastAsia" w:ascii="宋体" w:hAnsi="宋体"/>
          <w:b/>
          <w:kern w:val="0"/>
          <w:sz w:val="24"/>
          <w:szCs w:val="28"/>
        </w:rPr>
        <w:t>初步评审</w:t>
      </w:r>
      <w:bookmarkEnd w:id="736"/>
      <w:bookmarkEnd w:id="737"/>
      <w:bookmarkEnd w:id="738"/>
      <w:bookmarkEnd w:id="739"/>
      <w:bookmarkEnd w:id="740"/>
      <w:bookmarkEnd w:id="741"/>
      <w:bookmarkEnd w:id="742"/>
      <w:bookmarkEnd w:id="743"/>
    </w:p>
    <w:p w14:paraId="193059B2">
      <w:pPr>
        <w:autoSpaceDE w:val="0"/>
        <w:autoSpaceDN w:val="0"/>
        <w:adjustRightInd w:val="0"/>
        <w:snapToGrid w:val="0"/>
        <w:spacing w:line="400" w:lineRule="exact"/>
        <w:ind w:left="1" w:firstLine="535" w:firstLineChars="255"/>
        <w:jc w:val="left"/>
        <w:rPr>
          <w:rFonts w:hint="eastAsia" w:ascii="宋体" w:hAnsi="宋体"/>
          <w:kern w:val="0"/>
          <w:szCs w:val="21"/>
        </w:rPr>
      </w:pPr>
      <w:r>
        <w:rPr>
          <w:rFonts w:ascii="宋体" w:hAnsi="宋体"/>
          <w:kern w:val="0"/>
          <w:szCs w:val="21"/>
        </w:rPr>
        <w:t xml:space="preserve">3.1.1  </w:t>
      </w:r>
      <w:r>
        <w:rPr>
          <w:rFonts w:hint="eastAsia" w:ascii="宋体" w:hAnsi="宋体"/>
          <w:kern w:val="0"/>
          <w:szCs w:val="21"/>
        </w:rPr>
        <w:t>评审委员会依据本章第</w:t>
      </w:r>
      <w:r>
        <w:rPr>
          <w:rFonts w:ascii="宋体" w:hAnsi="宋体"/>
          <w:kern w:val="0"/>
          <w:szCs w:val="21"/>
        </w:rPr>
        <w:t xml:space="preserve"> 2.1 </w:t>
      </w:r>
      <w:r>
        <w:rPr>
          <w:rFonts w:hint="eastAsia" w:ascii="宋体" w:hAnsi="宋体"/>
          <w:kern w:val="0"/>
          <w:szCs w:val="21"/>
        </w:rPr>
        <w:t>款规定的标准对响应文件进行初步评审。有一项不符合评审标准的，应当予以否决。</w:t>
      </w:r>
    </w:p>
    <w:p w14:paraId="6EEDCDF0">
      <w:pPr>
        <w:autoSpaceDE w:val="0"/>
        <w:autoSpaceDN w:val="0"/>
        <w:adjustRightInd w:val="0"/>
        <w:snapToGrid w:val="0"/>
        <w:spacing w:line="400" w:lineRule="exact"/>
        <w:ind w:left="1" w:firstLine="535" w:firstLineChars="255"/>
        <w:jc w:val="left"/>
        <w:rPr>
          <w:rFonts w:hint="eastAsia" w:ascii="宋体" w:hAnsi="宋体"/>
          <w:kern w:val="0"/>
          <w:szCs w:val="21"/>
        </w:rPr>
      </w:pPr>
      <w:r>
        <w:rPr>
          <w:rFonts w:ascii="宋体" w:hAnsi="宋体"/>
          <w:kern w:val="0"/>
          <w:szCs w:val="21"/>
        </w:rPr>
        <w:t xml:space="preserve">3.1.2  </w:t>
      </w:r>
      <w:r>
        <w:rPr>
          <w:rFonts w:hint="eastAsia" w:ascii="宋体" w:hAnsi="宋体"/>
          <w:kern w:val="0"/>
          <w:szCs w:val="21"/>
        </w:rPr>
        <w:t>比选供应商有以下情形之一的，应当否决其比选：</w:t>
      </w:r>
    </w:p>
    <w:p w14:paraId="34026CF2">
      <w:pPr>
        <w:autoSpaceDE w:val="0"/>
        <w:autoSpaceDN w:val="0"/>
        <w:adjustRightInd w:val="0"/>
        <w:snapToGrid w:val="0"/>
        <w:spacing w:line="400" w:lineRule="exact"/>
        <w:ind w:firstLine="518"/>
        <w:jc w:val="left"/>
        <w:rPr>
          <w:rFonts w:hint="eastAsia" w:ascii="宋体" w:hAnsi="宋体" w:cs="MingLiU"/>
          <w:kern w:val="0"/>
          <w:szCs w:val="21"/>
        </w:rPr>
      </w:pPr>
      <w:r>
        <w:rPr>
          <w:rFonts w:hint="eastAsia" w:ascii="宋体" w:hAnsi="宋体" w:cs="MingLiU"/>
          <w:kern w:val="0"/>
          <w:szCs w:val="21"/>
        </w:rPr>
        <w:t>（</w:t>
      </w:r>
      <w:r>
        <w:rPr>
          <w:rFonts w:ascii="宋体" w:hAnsi="宋体" w:cs="MingLiU"/>
          <w:kern w:val="0"/>
          <w:szCs w:val="21"/>
        </w:rPr>
        <w:t>1</w:t>
      </w:r>
      <w:r>
        <w:rPr>
          <w:rFonts w:hint="eastAsia" w:ascii="宋体" w:hAnsi="宋体" w:cs="MingLiU"/>
          <w:kern w:val="0"/>
          <w:szCs w:val="21"/>
        </w:rPr>
        <w:t>）</w:t>
      </w:r>
      <w:r>
        <w:rPr>
          <w:rFonts w:hint="eastAsia" w:ascii="宋体" w:hAnsi="宋体" w:cs="Arial"/>
          <w:szCs w:val="21"/>
        </w:rPr>
        <w:t>第二章“</w:t>
      </w:r>
      <w:r>
        <w:rPr>
          <w:rFonts w:hint="eastAsia" w:ascii="宋体" w:hAnsi="宋体"/>
          <w:kern w:val="0"/>
          <w:szCs w:val="21"/>
        </w:rPr>
        <w:t>比选供应商</w:t>
      </w:r>
      <w:r>
        <w:rPr>
          <w:rFonts w:hint="eastAsia" w:ascii="宋体" w:hAnsi="宋体" w:cs="Arial"/>
          <w:szCs w:val="21"/>
        </w:rPr>
        <w:t>须知”第</w:t>
      </w:r>
      <w:r>
        <w:rPr>
          <w:rFonts w:ascii="宋体" w:hAnsi="宋体" w:cs="Arial"/>
          <w:szCs w:val="21"/>
        </w:rPr>
        <w:t>2.3</w:t>
      </w:r>
      <w:r>
        <w:rPr>
          <w:rFonts w:hint="eastAsia" w:ascii="宋体" w:hAnsi="宋体" w:cs="Arial"/>
          <w:szCs w:val="21"/>
        </w:rPr>
        <w:t>款规定的任何一种情形的</w:t>
      </w:r>
      <w:r>
        <w:rPr>
          <w:rFonts w:hint="eastAsia" w:ascii="宋体" w:hAnsi="宋体" w:cs="MingLiU"/>
          <w:kern w:val="0"/>
          <w:szCs w:val="21"/>
        </w:rPr>
        <w:t>；</w:t>
      </w:r>
    </w:p>
    <w:p w14:paraId="5C1A4406">
      <w:pPr>
        <w:autoSpaceDE w:val="0"/>
        <w:autoSpaceDN w:val="0"/>
        <w:adjustRightInd w:val="0"/>
        <w:snapToGrid w:val="0"/>
        <w:spacing w:line="400" w:lineRule="exact"/>
        <w:ind w:firstLine="518"/>
        <w:jc w:val="left"/>
        <w:rPr>
          <w:rFonts w:hint="eastAsia" w:ascii="宋体" w:hAnsi="宋体" w:cs="MingLiU"/>
          <w:kern w:val="0"/>
          <w:szCs w:val="21"/>
        </w:rPr>
      </w:pPr>
      <w:r>
        <w:rPr>
          <w:rFonts w:hint="eastAsia" w:ascii="宋体" w:hAnsi="宋体" w:cs="MingLiU"/>
          <w:kern w:val="0"/>
          <w:szCs w:val="21"/>
        </w:rPr>
        <w:t>（</w:t>
      </w:r>
      <w:r>
        <w:rPr>
          <w:rFonts w:ascii="宋体" w:hAnsi="宋体" w:cs="MingLiU"/>
          <w:kern w:val="0"/>
          <w:szCs w:val="21"/>
        </w:rPr>
        <w:t>2</w:t>
      </w:r>
      <w:r>
        <w:rPr>
          <w:rFonts w:hint="eastAsia" w:ascii="宋体" w:hAnsi="宋体" w:cs="MingLiU"/>
          <w:kern w:val="0"/>
          <w:szCs w:val="21"/>
        </w:rPr>
        <w:t>）串通比选（投标）或弄虚作假或有其他违法行为的；</w:t>
      </w:r>
    </w:p>
    <w:p w14:paraId="76B07849">
      <w:pPr>
        <w:autoSpaceDE w:val="0"/>
        <w:autoSpaceDN w:val="0"/>
        <w:adjustRightInd w:val="0"/>
        <w:snapToGrid w:val="0"/>
        <w:spacing w:line="400" w:lineRule="exact"/>
        <w:ind w:firstLine="518"/>
        <w:jc w:val="left"/>
        <w:rPr>
          <w:rFonts w:hint="eastAsia" w:ascii="宋体" w:hAnsi="宋体" w:cs="MingLiU"/>
          <w:kern w:val="0"/>
          <w:szCs w:val="21"/>
        </w:rPr>
      </w:pPr>
      <w:r>
        <w:rPr>
          <w:rFonts w:hint="eastAsia" w:ascii="宋体" w:hAnsi="宋体" w:cs="MingLiU"/>
          <w:kern w:val="0"/>
          <w:szCs w:val="21"/>
        </w:rPr>
        <w:t>（</w:t>
      </w:r>
      <w:r>
        <w:rPr>
          <w:rFonts w:ascii="宋体" w:hAnsi="宋体" w:cs="MingLiU"/>
          <w:kern w:val="0"/>
          <w:szCs w:val="21"/>
        </w:rPr>
        <w:t>3</w:t>
      </w:r>
      <w:r>
        <w:rPr>
          <w:rFonts w:hint="eastAsia" w:ascii="宋体" w:hAnsi="宋体" w:cs="MingLiU"/>
          <w:kern w:val="0"/>
          <w:szCs w:val="21"/>
        </w:rPr>
        <w:t>）不按评审委员会要求澄清、说明或补正的。</w:t>
      </w:r>
    </w:p>
    <w:p w14:paraId="6B038E1D">
      <w:pPr>
        <w:autoSpaceDE w:val="0"/>
        <w:autoSpaceDN w:val="0"/>
        <w:adjustRightInd w:val="0"/>
        <w:spacing w:before="16" w:line="400" w:lineRule="exact"/>
        <w:jc w:val="left"/>
        <w:outlineLvl w:val="2"/>
        <w:rPr>
          <w:rFonts w:hint="eastAsia" w:ascii="宋体" w:hAnsi="宋体"/>
          <w:b/>
          <w:kern w:val="0"/>
          <w:sz w:val="24"/>
          <w:szCs w:val="28"/>
        </w:rPr>
      </w:pPr>
      <w:bookmarkStart w:id="744" w:name="_Toc310932707"/>
      <w:bookmarkStart w:id="745" w:name="_Toc200513204"/>
      <w:bookmarkStart w:id="746" w:name="_Toc25507"/>
      <w:bookmarkStart w:id="747" w:name="_Toc148061402"/>
      <w:bookmarkStart w:id="748" w:name="_Toc30885"/>
      <w:bookmarkStart w:id="749" w:name="_Toc224103390"/>
      <w:bookmarkStart w:id="750" w:name="_Toc21331"/>
      <w:bookmarkStart w:id="751" w:name="_Toc24516"/>
      <w:r>
        <w:rPr>
          <w:rFonts w:ascii="宋体" w:hAnsi="宋体"/>
          <w:b/>
          <w:kern w:val="0"/>
          <w:sz w:val="24"/>
          <w:szCs w:val="28"/>
        </w:rPr>
        <w:t xml:space="preserve">3.2  </w:t>
      </w:r>
      <w:r>
        <w:rPr>
          <w:rFonts w:hint="eastAsia" w:ascii="宋体" w:hAnsi="宋体"/>
          <w:b/>
          <w:kern w:val="0"/>
          <w:sz w:val="24"/>
          <w:szCs w:val="28"/>
        </w:rPr>
        <w:t>详细评审</w:t>
      </w:r>
      <w:bookmarkEnd w:id="744"/>
      <w:bookmarkEnd w:id="745"/>
      <w:bookmarkEnd w:id="746"/>
      <w:bookmarkEnd w:id="747"/>
      <w:bookmarkEnd w:id="748"/>
      <w:bookmarkEnd w:id="749"/>
      <w:bookmarkEnd w:id="750"/>
      <w:bookmarkEnd w:id="751"/>
    </w:p>
    <w:p w14:paraId="026FE9A5">
      <w:pPr>
        <w:autoSpaceDE w:val="0"/>
        <w:autoSpaceDN w:val="0"/>
        <w:adjustRightInd w:val="0"/>
        <w:snapToGrid w:val="0"/>
        <w:spacing w:line="400" w:lineRule="exact"/>
        <w:ind w:left="1" w:firstLine="535" w:firstLineChars="255"/>
        <w:jc w:val="left"/>
        <w:rPr>
          <w:rFonts w:hint="eastAsia" w:ascii="宋体" w:hAnsi="宋体"/>
          <w:kern w:val="0"/>
          <w:szCs w:val="21"/>
        </w:rPr>
      </w:pPr>
      <w:r>
        <w:rPr>
          <w:rFonts w:ascii="宋体" w:hAnsi="宋体"/>
          <w:kern w:val="0"/>
          <w:szCs w:val="21"/>
        </w:rPr>
        <w:t xml:space="preserve">3.2.1 </w:t>
      </w:r>
      <w:r>
        <w:rPr>
          <w:rFonts w:hint="eastAsia" w:ascii="宋体" w:hAnsi="宋体"/>
          <w:kern w:val="0"/>
          <w:szCs w:val="21"/>
        </w:rPr>
        <w:t>评审委员会按本章第</w:t>
      </w:r>
      <w:r>
        <w:rPr>
          <w:rFonts w:ascii="宋体" w:hAnsi="宋体"/>
          <w:kern w:val="0"/>
          <w:szCs w:val="21"/>
        </w:rPr>
        <w:t>2.2</w:t>
      </w:r>
      <w:r>
        <w:rPr>
          <w:rFonts w:hint="eastAsia" w:ascii="宋体" w:hAnsi="宋体"/>
          <w:kern w:val="0"/>
          <w:szCs w:val="21"/>
        </w:rPr>
        <w:t>款规定进行评分。</w:t>
      </w:r>
    </w:p>
    <w:p w14:paraId="1A632334">
      <w:pPr>
        <w:autoSpaceDE w:val="0"/>
        <w:autoSpaceDN w:val="0"/>
        <w:adjustRightInd w:val="0"/>
        <w:snapToGrid w:val="0"/>
        <w:spacing w:line="400" w:lineRule="exact"/>
        <w:ind w:left="1" w:firstLine="571" w:firstLineChars="255"/>
        <w:jc w:val="left"/>
        <w:rPr>
          <w:rFonts w:hint="eastAsia" w:ascii="宋体" w:hAnsi="宋体"/>
          <w:kern w:val="0"/>
          <w:szCs w:val="21"/>
        </w:rPr>
      </w:pPr>
      <w:bookmarkStart w:id="752" w:name="_Hlk159152848"/>
      <w:r>
        <w:rPr>
          <w:rFonts w:ascii="宋体" w:hAnsi="宋体" w:cs="宋体"/>
          <w:spacing w:val="7"/>
          <w:kern w:val="0"/>
          <w:szCs w:val="21"/>
        </w:rPr>
        <w:t>3.2.</w:t>
      </w:r>
      <w:r>
        <w:rPr>
          <w:rFonts w:hint="eastAsia" w:ascii="宋体" w:hAnsi="宋体" w:cs="宋体"/>
          <w:spacing w:val="7"/>
          <w:kern w:val="0"/>
          <w:szCs w:val="21"/>
        </w:rPr>
        <w:t>2</w:t>
      </w:r>
      <w:r>
        <w:rPr>
          <w:rFonts w:ascii="宋体" w:hAnsi="宋体" w:cs="宋体"/>
          <w:spacing w:val="7"/>
          <w:kern w:val="0"/>
          <w:szCs w:val="21"/>
        </w:rPr>
        <w:t xml:space="preserve"> </w:t>
      </w:r>
      <w:bookmarkStart w:id="753" w:name="_Hlk159107224"/>
      <w:r>
        <w:rPr>
          <w:rFonts w:hint="eastAsia" w:ascii="宋体" w:hAnsi="宋体"/>
          <w:kern w:val="0"/>
          <w:szCs w:val="21"/>
        </w:rPr>
        <w:t>评审委员会发现比选供应商的最后报价明显低于其他报价，或者在设有标底时明显低于标底，使得其报价可能低于其个别成本的，应当要求该比选供应商做出书面说明并提供相应的证明材料。比选供应商不能合理说明或者不能提供相应证明材料的，由评审委员会认定该比选供应商以低于成本报价，应当予以否决。</w:t>
      </w:r>
      <w:bookmarkEnd w:id="752"/>
      <w:bookmarkEnd w:id="753"/>
    </w:p>
    <w:p w14:paraId="684A4793">
      <w:pPr>
        <w:autoSpaceDE w:val="0"/>
        <w:autoSpaceDN w:val="0"/>
        <w:adjustRightInd w:val="0"/>
        <w:spacing w:before="16" w:line="400" w:lineRule="exact"/>
        <w:jc w:val="left"/>
        <w:outlineLvl w:val="2"/>
        <w:rPr>
          <w:rFonts w:hint="eastAsia" w:ascii="宋体" w:hAnsi="宋体"/>
          <w:b/>
          <w:kern w:val="0"/>
          <w:sz w:val="24"/>
          <w:szCs w:val="28"/>
        </w:rPr>
      </w:pPr>
      <w:bookmarkStart w:id="754" w:name="_Toc13215"/>
      <w:bookmarkStart w:id="755" w:name="_Toc148061404"/>
      <w:bookmarkStart w:id="756" w:name="_Toc1628"/>
      <w:bookmarkStart w:id="757" w:name="_Toc310932709"/>
      <w:bookmarkStart w:id="758" w:name="_Toc200513206"/>
      <w:bookmarkStart w:id="759" w:name="_Toc25538"/>
      <w:bookmarkStart w:id="760" w:name="_Toc27645"/>
      <w:bookmarkStart w:id="761" w:name="_Toc224103392"/>
      <w:r>
        <w:rPr>
          <w:rFonts w:ascii="宋体" w:hAnsi="宋体"/>
          <w:b/>
          <w:kern w:val="0"/>
          <w:sz w:val="24"/>
          <w:szCs w:val="28"/>
        </w:rPr>
        <w:t>3.</w:t>
      </w:r>
      <w:r>
        <w:rPr>
          <w:rFonts w:hint="eastAsia" w:ascii="宋体" w:hAnsi="宋体"/>
          <w:b/>
          <w:kern w:val="0"/>
          <w:sz w:val="24"/>
          <w:szCs w:val="28"/>
        </w:rPr>
        <w:t>3</w:t>
      </w:r>
      <w:r>
        <w:rPr>
          <w:rFonts w:ascii="宋体" w:hAnsi="宋体"/>
          <w:b/>
          <w:kern w:val="0"/>
          <w:sz w:val="24"/>
          <w:szCs w:val="28"/>
        </w:rPr>
        <w:t xml:space="preserve">  </w:t>
      </w:r>
      <w:r>
        <w:rPr>
          <w:rFonts w:hint="eastAsia" w:ascii="宋体" w:hAnsi="宋体"/>
          <w:b/>
          <w:kern w:val="0"/>
          <w:sz w:val="24"/>
          <w:szCs w:val="28"/>
        </w:rPr>
        <w:t>评标结果</w:t>
      </w:r>
      <w:bookmarkEnd w:id="754"/>
      <w:bookmarkEnd w:id="755"/>
      <w:bookmarkEnd w:id="756"/>
      <w:bookmarkEnd w:id="757"/>
      <w:bookmarkEnd w:id="758"/>
      <w:bookmarkEnd w:id="759"/>
      <w:bookmarkEnd w:id="760"/>
      <w:bookmarkEnd w:id="761"/>
    </w:p>
    <w:p w14:paraId="04A8C067">
      <w:pPr>
        <w:autoSpaceDE w:val="0"/>
        <w:autoSpaceDN w:val="0"/>
        <w:adjustRightInd w:val="0"/>
        <w:snapToGrid w:val="0"/>
        <w:spacing w:line="400" w:lineRule="exact"/>
        <w:ind w:firstLine="420" w:firstLineChars="200"/>
        <w:jc w:val="left"/>
        <w:rPr>
          <w:rFonts w:hint="eastAsia" w:ascii="宋体" w:hAnsi="宋体" w:cs="MingLiU"/>
          <w:kern w:val="0"/>
          <w:szCs w:val="21"/>
        </w:rPr>
      </w:pPr>
      <w:r>
        <w:rPr>
          <w:rFonts w:ascii="宋体" w:hAnsi="宋体"/>
          <w:kern w:val="0"/>
          <w:szCs w:val="21"/>
        </w:rPr>
        <w:t>3.</w:t>
      </w:r>
      <w:r>
        <w:rPr>
          <w:rFonts w:hint="eastAsia" w:ascii="宋体" w:hAnsi="宋体"/>
          <w:kern w:val="0"/>
          <w:szCs w:val="21"/>
        </w:rPr>
        <w:t>3</w:t>
      </w:r>
      <w:r>
        <w:rPr>
          <w:rFonts w:ascii="宋体" w:hAnsi="宋体"/>
          <w:kern w:val="0"/>
          <w:szCs w:val="21"/>
        </w:rPr>
        <w:t xml:space="preserve">.1  </w:t>
      </w:r>
      <w:r>
        <w:rPr>
          <w:rFonts w:hint="eastAsia" w:ascii="宋体" w:hAnsi="宋体"/>
          <w:kern w:val="0"/>
          <w:szCs w:val="21"/>
        </w:rPr>
        <w:t>除第二章“比选供应商须知”前附表授权直接确定中选人外，评审委员会按照得分由高到低的顺</w:t>
      </w:r>
      <w:r>
        <w:rPr>
          <w:rFonts w:hint="eastAsia" w:ascii="宋体" w:hAnsi="宋体" w:cs="MingLiU"/>
          <w:kern w:val="0"/>
          <w:szCs w:val="21"/>
        </w:rPr>
        <w:t>序推荐中选候选人。</w:t>
      </w:r>
    </w:p>
    <w:p w14:paraId="58E9D568">
      <w:pPr>
        <w:autoSpaceDE w:val="0"/>
        <w:autoSpaceDN w:val="0"/>
        <w:adjustRightInd w:val="0"/>
        <w:snapToGrid w:val="0"/>
        <w:spacing w:line="400" w:lineRule="exact"/>
        <w:ind w:firstLine="420" w:firstLineChars="200"/>
        <w:jc w:val="left"/>
        <w:rPr>
          <w:rFonts w:hint="eastAsia" w:ascii="宋体" w:hAnsi="宋体"/>
          <w:kern w:val="0"/>
          <w:szCs w:val="21"/>
        </w:rPr>
      </w:pPr>
      <w:r>
        <w:rPr>
          <w:rFonts w:ascii="宋体" w:hAnsi="宋体"/>
          <w:kern w:val="0"/>
          <w:szCs w:val="21"/>
        </w:rPr>
        <w:t>3.</w:t>
      </w:r>
      <w:r>
        <w:rPr>
          <w:rFonts w:hint="eastAsia" w:ascii="宋体" w:hAnsi="宋体"/>
          <w:kern w:val="0"/>
          <w:szCs w:val="21"/>
        </w:rPr>
        <w:t>3</w:t>
      </w:r>
      <w:r>
        <w:rPr>
          <w:rFonts w:ascii="宋体" w:hAnsi="宋体"/>
          <w:kern w:val="0"/>
          <w:szCs w:val="21"/>
        </w:rPr>
        <w:t xml:space="preserve">.2  </w:t>
      </w:r>
      <w:r>
        <w:rPr>
          <w:rFonts w:hint="eastAsia" w:ascii="宋体" w:hAnsi="宋体"/>
          <w:kern w:val="0"/>
          <w:szCs w:val="21"/>
        </w:rPr>
        <w:t>评审委员会完成评审后，应当向比选人提交书面评审报告。</w:t>
      </w:r>
    </w:p>
    <w:p w14:paraId="1DACD425">
      <w:pPr>
        <w:pStyle w:val="43"/>
      </w:pPr>
      <w:r>
        <w:br w:type="page"/>
      </w:r>
    </w:p>
    <w:p w14:paraId="0A534F5C">
      <w:pPr>
        <w:tabs>
          <w:tab w:val="left" w:pos="2032"/>
        </w:tabs>
        <w:autoSpaceDE w:val="0"/>
        <w:autoSpaceDN w:val="0"/>
        <w:adjustRightInd w:val="0"/>
        <w:spacing w:line="420" w:lineRule="exact"/>
        <w:ind w:right="-127"/>
        <w:rPr>
          <w:rFonts w:hint="eastAsia" w:ascii="宋体" w:hAnsi="宋体" w:cs="Arial"/>
          <w:sz w:val="24"/>
        </w:rPr>
      </w:pPr>
      <w:r>
        <w:rPr>
          <w:rFonts w:hint="eastAsia" w:ascii="宋体" w:hAnsi="宋体" w:cs="Arial"/>
          <w:sz w:val="24"/>
        </w:rPr>
        <w:t>附件：否决情况一览表</w:t>
      </w:r>
    </w:p>
    <w:p w14:paraId="39182D93">
      <w:pPr>
        <w:spacing w:line="420" w:lineRule="exact"/>
        <w:jc w:val="center"/>
        <w:rPr>
          <w:rFonts w:hint="eastAsia" w:ascii="宋体" w:hAnsi="宋体" w:cs="宋体"/>
          <w:b/>
          <w:sz w:val="32"/>
          <w:szCs w:val="32"/>
        </w:rPr>
      </w:pPr>
      <w:r>
        <w:rPr>
          <w:rFonts w:hint="eastAsia" w:ascii="宋体" w:hAnsi="宋体" w:cs="宋体"/>
          <w:b/>
          <w:sz w:val="32"/>
          <w:szCs w:val="32"/>
        </w:rPr>
        <w:t>否决情况一览表</w:t>
      </w:r>
    </w:p>
    <w:p w14:paraId="6F99403C">
      <w:pPr>
        <w:spacing w:line="420" w:lineRule="exact"/>
        <w:ind w:firstLine="422" w:firstLineChars="200"/>
        <w:jc w:val="left"/>
      </w:pPr>
      <w:bookmarkStart w:id="762" w:name="_Hlk159150203"/>
      <w:bookmarkStart w:id="763" w:name="_Hlk159106027"/>
      <w:r>
        <w:rPr>
          <w:rFonts w:hint="eastAsia" w:ascii="宋体" w:hAnsi="宋体"/>
          <w:b/>
          <w:bCs/>
          <w:szCs w:val="21"/>
        </w:rPr>
        <w:t>响应文件存在本一览表下列情形之一的，响应文件视为重大偏差并作否决处理，否则，评审委员会不得视为重大偏差而否决比选供应商的响应文件。</w:t>
      </w:r>
    </w:p>
    <w:tbl>
      <w:tblPr>
        <w:tblStyle w:val="75"/>
        <w:tblW w:w="9050"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899"/>
        <w:gridCol w:w="7151"/>
      </w:tblGrid>
      <w:tr w14:paraId="2AA49EC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1899" w:type="dxa"/>
            <w:vAlign w:val="center"/>
          </w:tcPr>
          <w:p w14:paraId="654223D9">
            <w:pPr>
              <w:spacing w:line="320" w:lineRule="exact"/>
              <w:jc w:val="center"/>
              <w:rPr>
                <w:rFonts w:hint="eastAsia" w:ascii="宋体" w:hAnsi="宋体"/>
                <w:b/>
                <w:szCs w:val="21"/>
              </w:rPr>
            </w:pPr>
            <w:r>
              <w:rPr>
                <w:rFonts w:ascii="宋体" w:hAnsi="宋体"/>
                <w:b/>
                <w:szCs w:val="21"/>
              </w:rPr>
              <w:t>条款名称</w:t>
            </w:r>
          </w:p>
        </w:tc>
        <w:tc>
          <w:tcPr>
            <w:tcW w:w="7151" w:type="dxa"/>
            <w:vAlign w:val="center"/>
          </w:tcPr>
          <w:p w14:paraId="356624F5">
            <w:pPr>
              <w:spacing w:line="320" w:lineRule="exact"/>
              <w:jc w:val="center"/>
              <w:rPr>
                <w:rFonts w:hint="eastAsia" w:ascii="宋体" w:hAnsi="宋体"/>
                <w:b/>
                <w:szCs w:val="21"/>
              </w:rPr>
            </w:pPr>
            <w:r>
              <w:rPr>
                <w:rFonts w:ascii="宋体" w:hAnsi="宋体"/>
                <w:b/>
                <w:szCs w:val="21"/>
              </w:rPr>
              <w:t>否决条件</w:t>
            </w:r>
          </w:p>
        </w:tc>
      </w:tr>
      <w:tr w14:paraId="3F0FD36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tblHeader/>
          <w:jc w:val="center"/>
        </w:trPr>
        <w:tc>
          <w:tcPr>
            <w:tcW w:w="1899" w:type="dxa"/>
            <w:vMerge w:val="restart"/>
            <w:vAlign w:val="center"/>
          </w:tcPr>
          <w:p w14:paraId="086BEE9F">
            <w:pPr>
              <w:spacing w:line="380" w:lineRule="exact"/>
              <w:jc w:val="center"/>
              <w:rPr>
                <w:rFonts w:hint="eastAsia" w:ascii="宋体" w:hAnsi="宋体"/>
                <w:szCs w:val="21"/>
              </w:rPr>
            </w:pPr>
            <w:r>
              <w:rPr>
                <w:rFonts w:hint="eastAsia" w:ascii="宋体" w:hAnsi="宋体"/>
                <w:szCs w:val="21"/>
              </w:rPr>
              <w:t>形式评审</w:t>
            </w:r>
          </w:p>
        </w:tc>
        <w:tc>
          <w:tcPr>
            <w:tcW w:w="7151" w:type="dxa"/>
          </w:tcPr>
          <w:p w14:paraId="2FADF153">
            <w:pPr>
              <w:spacing w:line="380" w:lineRule="exact"/>
              <w:ind w:firstLine="420" w:firstLineChars="200"/>
              <w:rPr>
                <w:rFonts w:hint="eastAsia" w:ascii="宋体" w:hAnsi="宋体"/>
                <w:szCs w:val="21"/>
              </w:rPr>
            </w:pPr>
            <w:r>
              <w:rPr>
                <w:rFonts w:hint="eastAsia" w:ascii="宋体" w:hAnsi="宋体"/>
                <w:szCs w:val="21"/>
              </w:rPr>
              <w:t>A-1比选供应商名称与营业执照或其他有效设立证明及各相关证件名称一致，依法变更名称的应提交相应证明材料，</w:t>
            </w:r>
            <w:r>
              <w:rPr>
                <w:rFonts w:ascii="宋体" w:hAnsi="宋体"/>
                <w:szCs w:val="21"/>
              </w:rPr>
              <w:t>否则</w:t>
            </w:r>
            <w:r>
              <w:rPr>
                <w:rFonts w:hint="eastAsia" w:ascii="宋体" w:hAnsi="宋体"/>
                <w:szCs w:val="21"/>
              </w:rPr>
              <w:t>由评审委员会</w:t>
            </w:r>
            <w:r>
              <w:rPr>
                <w:rFonts w:ascii="宋体" w:hAnsi="宋体"/>
                <w:szCs w:val="21"/>
              </w:rPr>
              <w:t>作否决处理。</w:t>
            </w:r>
          </w:p>
        </w:tc>
      </w:tr>
      <w:tr w14:paraId="6E7DD4D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899" w:type="dxa"/>
            <w:vMerge w:val="continue"/>
            <w:vAlign w:val="center"/>
          </w:tcPr>
          <w:p w14:paraId="5D2DA627">
            <w:pPr>
              <w:spacing w:line="380" w:lineRule="exact"/>
              <w:jc w:val="center"/>
              <w:rPr>
                <w:rFonts w:hint="eastAsia" w:ascii="宋体" w:hAnsi="宋体"/>
                <w:szCs w:val="21"/>
              </w:rPr>
            </w:pPr>
          </w:p>
        </w:tc>
        <w:tc>
          <w:tcPr>
            <w:tcW w:w="7151" w:type="dxa"/>
          </w:tcPr>
          <w:p w14:paraId="3B4C058D">
            <w:pPr>
              <w:spacing w:line="380" w:lineRule="exact"/>
              <w:ind w:firstLine="420" w:firstLineChars="200"/>
              <w:rPr>
                <w:rFonts w:hint="eastAsia" w:ascii="宋体" w:hAnsi="宋体"/>
                <w:szCs w:val="21"/>
              </w:rPr>
            </w:pPr>
            <w:r>
              <w:rPr>
                <w:rFonts w:hint="eastAsia" w:ascii="宋体" w:hAnsi="宋体"/>
                <w:szCs w:val="21"/>
              </w:rPr>
              <w:t>A-2</w:t>
            </w:r>
            <w:r>
              <w:rPr>
                <w:rFonts w:hint="eastAsia" w:ascii="宋体" w:hAnsi="宋体" w:cs="宋体"/>
                <w:szCs w:val="21"/>
              </w:rPr>
              <w:t>响应文件应按照比选文件规定编制，内容齐全，响应文件格式要求有法定代表人</w:t>
            </w:r>
            <w:r>
              <w:rPr>
                <w:rFonts w:hint="eastAsia" w:ascii="宋体" w:hAnsi="宋体"/>
                <w:kern w:val="0"/>
                <w:szCs w:val="21"/>
              </w:rPr>
              <w:t>（或单位负责人）</w:t>
            </w:r>
            <w:r>
              <w:rPr>
                <w:rFonts w:hint="eastAsia" w:ascii="宋体" w:hAnsi="宋体" w:cs="宋体"/>
                <w:szCs w:val="21"/>
              </w:rPr>
              <w:t>或其委托代理人签字的必须按规定要求签字，响应文件格式要求有比选供应商盖章的，必须加盖比选供应商公章，签字盖章须符合第二章“比选供应商须知前附表”第D</w:t>
            </w:r>
            <w:r>
              <w:rPr>
                <w:rFonts w:ascii="宋体" w:hAnsi="宋体" w:cs="宋体"/>
                <w:szCs w:val="21"/>
              </w:rPr>
              <w:t>.</w:t>
            </w:r>
            <w:r>
              <w:rPr>
                <w:rFonts w:hint="eastAsia" w:ascii="宋体" w:hAnsi="宋体" w:cs="宋体"/>
                <w:szCs w:val="21"/>
              </w:rPr>
              <w:t>15.1条所列内容要求。</w:t>
            </w:r>
            <w:r>
              <w:rPr>
                <w:rFonts w:hint="eastAsia" w:ascii="宋体" w:hAnsi="宋体"/>
                <w:szCs w:val="21"/>
              </w:rPr>
              <w:t>否则视为重大偏差，由评审委员会作否决处理。</w:t>
            </w:r>
          </w:p>
        </w:tc>
      </w:tr>
      <w:tr w14:paraId="39223F9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899" w:type="dxa"/>
            <w:vMerge w:val="continue"/>
            <w:vAlign w:val="center"/>
          </w:tcPr>
          <w:p w14:paraId="6C5AA45A">
            <w:pPr>
              <w:spacing w:line="380" w:lineRule="exact"/>
              <w:jc w:val="center"/>
              <w:rPr>
                <w:rFonts w:hint="eastAsia" w:ascii="宋体" w:hAnsi="宋体"/>
                <w:szCs w:val="21"/>
              </w:rPr>
            </w:pPr>
          </w:p>
        </w:tc>
        <w:tc>
          <w:tcPr>
            <w:tcW w:w="7151" w:type="dxa"/>
          </w:tcPr>
          <w:p w14:paraId="6C5FFAB7">
            <w:pPr>
              <w:autoSpaceDE w:val="0"/>
              <w:autoSpaceDN w:val="0"/>
              <w:adjustRightInd w:val="0"/>
              <w:snapToGrid w:val="0"/>
              <w:spacing w:line="380" w:lineRule="exact"/>
              <w:ind w:firstLine="420" w:firstLineChars="200"/>
              <w:rPr>
                <w:rFonts w:hint="eastAsia" w:ascii="宋体" w:hAnsi="宋体"/>
                <w:szCs w:val="21"/>
              </w:rPr>
            </w:pPr>
            <w:r>
              <w:rPr>
                <w:rFonts w:hint="eastAsia" w:ascii="宋体" w:hAnsi="宋体"/>
                <w:szCs w:val="21"/>
              </w:rPr>
              <w:t>A-3 符合第六章“响应文件格式”的要求，字迹清晰可辨，否则由评审委员会作否决处理。</w:t>
            </w:r>
          </w:p>
        </w:tc>
      </w:tr>
      <w:tr w14:paraId="28E8597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899" w:type="dxa"/>
            <w:vMerge w:val="continue"/>
            <w:vAlign w:val="center"/>
          </w:tcPr>
          <w:p w14:paraId="71EE0FC4">
            <w:pPr>
              <w:spacing w:line="380" w:lineRule="exact"/>
              <w:jc w:val="center"/>
              <w:rPr>
                <w:rFonts w:hint="eastAsia" w:ascii="宋体" w:hAnsi="宋体"/>
                <w:szCs w:val="21"/>
              </w:rPr>
            </w:pPr>
          </w:p>
        </w:tc>
        <w:tc>
          <w:tcPr>
            <w:tcW w:w="7151" w:type="dxa"/>
          </w:tcPr>
          <w:p w14:paraId="54DFCDD5">
            <w:pPr>
              <w:autoSpaceDE w:val="0"/>
              <w:autoSpaceDN w:val="0"/>
              <w:adjustRightInd w:val="0"/>
              <w:snapToGrid w:val="0"/>
              <w:spacing w:line="380" w:lineRule="exact"/>
              <w:ind w:firstLine="420" w:firstLineChars="200"/>
              <w:rPr>
                <w:rFonts w:hint="eastAsia" w:ascii="宋体" w:hAnsi="宋体"/>
                <w:szCs w:val="21"/>
              </w:rPr>
            </w:pPr>
            <w:r>
              <w:rPr>
                <w:rFonts w:hint="eastAsia" w:ascii="宋体" w:hAnsi="宋体"/>
                <w:szCs w:val="21"/>
              </w:rPr>
              <w:t>A-</w:t>
            </w:r>
            <w:r>
              <w:rPr>
                <w:rFonts w:ascii="宋体" w:hAnsi="宋体"/>
                <w:szCs w:val="21"/>
              </w:rPr>
              <w:t xml:space="preserve">4 </w:t>
            </w:r>
            <w:r>
              <w:rPr>
                <w:rFonts w:hint="eastAsia" w:ascii="宋体" w:hAnsi="宋体"/>
                <w:szCs w:val="21"/>
              </w:rPr>
              <w:t>响应文件的</w:t>
            </w:r>
            <w:r>
              <w:rPr>
                <w:rFonts w:hint="eastAsia" w:ascii="宋体" w:hAnsi="宋体"/>
                <w:kern w:val="0"/>
                <w:szCs w:val="21"/>
              </w:rPr>
              <w:t>份数</w:t>
            </w:r>
            <w:r>
              <w:rPr>
                <w:rFonts w:hint="eastAsia" w:ascii="宋体" w:hAnsi="宋体" w:cs="宋体"/>
                <w:kern w:val="0"/>
              </w:rPr>
              <w:t>符合第二章</w:t>
            </w:r>
            <w:r>
              <w:rPr>
                <w:rFonts w:hint="eastAsia" w:ascii="宋体" w:hAnsi="宋体" w:cs="宋体"/>
                <w:szCs w:val="21"/>
              </w:rPr>
              <w:t>“比选供应商须知前附表”</w:t>
            </w:r>
            <w:r>
              <w:rPr>
                <w:rFonts w:hint="eastAsia" w:ascii="宋体" w:hAnsi="宋体"/>
                <w:szCs w:val="21"/>
              </w:rPr>
              <w:t>C.14.3项</w:t>
            </w:r>
            <w:r>
              <w:rPr>
                <w:rFonts w:hint="eastAsia" w:ascii="宋体" w:hAnsi="宋体" w:cs="宋体"/>
                <w:szCs w:val="21"/>
              </w:rPr>
              <w:t>所列内容</w:t>
            </w:r>
            <w:r>
              <w:rPr>
                <w:rFonts w:hint="eastAsia" w:ascii="宋体" w:hAnsi="宋体"/>
                <w:szCs w:val="21"/>
              </w:rPr>
              <w:t>，否则由评审委员会作否决处理。</w:t>
            </w:r>
          </w:p>
        </w:tc>
      </w:tr>
      <w:tr w14:paraId="2BFC3C9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899" w:type="dxa"/>
            <w:vMerge w:val="continue"/>
            <w:vAlign w:val="center"/>
          </w:tcPr>
          <w:p w14:paraId="74BE0CF0">
            <w:pPr>
              <w:spacing w:line="380" w:lineRule="exact"/>
              <w:jc w:val="center"/>
              <w:rPr>
                <w:rFonts w:hint="eastAsia" w:ascii="宋体" w:hAnsi="宋体"/>
                <w:szCs w:val="21"/>
              </w:rPr>
            </w:pPr>
          </w:p>
        </w:tc>
        <w:tc>
          <w:tcPr>
            <w:tcW w:w="7151" w:type="dxa"/>
          </w:tcPr>
          <w:p w14:paraId="3A034F0B">
            <w:pPr>
              <w:spacing w:line="380" w:lineRule="exact"/>
              <w:ind w:firstLine="420" w:firstLineChars="200"/>
              <w:rPr>
                <w:rFonts w:hint="eastAsia" w:ascii="宋体" w:hAnsi="宋体" w:cs="宋体"/>
                <w:kern w:val="0"/>
                <w:szCs w:val="21"/>
              </w:rPr>
            </w:pPr>
            <w:r>
              <w:rPr>
                <w:rFonts w:hint="eastAsia" w:ascii="宋体" w:hAnsi="宋体"/>
                <w:szCs w:val="21"/>
              </w:rPr>
              <w:t>A-5</w:t>
            </w:r>
            <w:r>
              <w:rPr>
                <w:rFonts w:hint="eastAsia" w:ascii="宋体" w:hAnsi="宋体" w:cs="宋体"/>
                <w:szCs w:val="21"/>
              </w:rPr>
              <w:t>比选供应商法定代表人（或单位负责人）的委托代理人有法定代表人（或单位负责人）签署的授权委托书</w:t>
            </w:r>
            <w:r>
              <w:rPr>
                <w:rFonts w:hint="eastAsia" w:ascii="宋体" w:hAnsi="宋体" w:cs="宋体"/>
                <w:kern w:val="0"/>
                <w:szCs w:val="21"/>
              </w:rPr>
              <w:t>，且其授权委托书符合比选文件规定的格式</w:t>
            </w:r>
            <w:r>
              <w:rPr>
                <w:rFonts w:hint="eastAsia" w:ascii="宋体" w:hAnsi="宋体"/>
                <w:szCs w:val="21"/>
              </w:rPr>
              <w:t>，否则由评审委员会作否决处理。</w:t>
            </w:r>
          </w:p>
        </w:tc>
      </w:tr>
      <w:tr w14:paraId="54F4242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899" w:type="dxa"/>
            <w:vMerge w:val="restart"/>
            <w:vAlign w:val="center"/>
          </w:tcPr>
          <w:p w14:paraId="06ACBC9B">
            <w:pPr>
              <w:spacing w:line="380" w:lineRule="exact"/>
              <w:jc w:val="center"/>
              <w:rPr>
                <w:rFonts w:hint="eastAsia" w:ascii="宋体" w:hAnsi="宋体"/>
                <w:szCs w:val="21"/>
              </w:rPr>
            </w:pPr>
            <w:r>
              <w:rPr>
                <w:rFonts w:hint="eastAsia" w:ascii="宋体" w:hAnsi="宋体"/>
                <w:szCs w:val="21"/>
              </w:rPr>
              <w:t>资格评审</w:t>
            </w:r>
          </w:p>
        </w:tc>
        <w:tc>
          <w:tcPr>
            <w:tcW w:w="7151" w:type="dxa"/>
            <w:vAlign w:val="center"/>
          </w:tcPr>
          <w:p w14:paraId="2BCC3AAF">
            <w:pPr>
              <w:spacing w:line="380" w:lineRule="exact"/>
              <w:ind w:firstLine="420" w:firstLineChars="200"/>
              <w:rPr>
                <w:rFonts w:hint="eastAsia" w:ascii="宋体" w:hAnsi="宋体"/>
                <w:szCs w:val="21"/>
              </w:rPr>
            </w:pPr>
            <w:r>
              <w:rPr>
                <w:rFonts w:hint="eastAsia" w:ascii="宋体" w:hAnsi="宋体"/>
                <w:szCs w:val="21"/>
              </w:rPr>
              <w:t>A-6比选供应商的营业执照或其他有效设立证明须满足第二章“比选供应商须知前附表”A.2.5项</w:t>
            </w:r>
            <w:r>
              <w:rPr>
                <w:rFonts w:hint="eastAsia" w:ascii="宋体" w:hAnsi="宋体" w:cs="宋体"/>
                <w:szCs w:val="21"/>
              </w:rPr>
              <w:t>规定</w:t>
            </w:r>
            <w:r>
              <w:rPr>
                <w:rFonts w:hint="eastAsia" w:ascii="宋体" w:hAnsi="宋体"/>
                <w:szCs w:val="21"/>
              </w:rPr>
              <w:t>，否则由评审委员会作否决处理。</w:t>
            </w:r>
          </w:p>
        </w:tc>
      </w:tr>
      <w:tr w14:paraId="5279733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899" w:type="dxa"/>
            <w:vMerge w:val="continue"/>
            <w:vAlign w:val="center"/>
          </w:tcPr>
          <w:p w14:paraId="351B4761">
            <w:pPr>
              <w:spacing w:line="380" w:lineRule="exact"/>
              <w:jc w:val="center"/>
              <w:rPr>
                <w:rFonts w:hint="eastAsia" w:ascii="宋体" w:hAnsi="宋体"/>
                <w:szCs w:val="21"/>
              </w:rPr>
            </w:pPr>
          </w:p>
        </w:tc>
        <w:tc>
          <w:tcPr>
            <w:tcW w:w="7151" w:type="dxa"/>
            <w:vAlign w:val="center"/>
          </w:tcPr>
          <w:p w14:paraId="728E26F5">
            <w:pPr>
              <w:spacing w:line="380" w:lineRule="exact"/>
              <w:ind w:firstLine="420" w:firstLineChars="200"/>
              <w:rPr>
                <w:rFonts w:hint="eastAsia" w:ascii="宋体" w:hAnsi="宋体"/>
                <w:szCs w:val="21"/>
              </w:rPr>
            </w:pPr>
            <w:r>
              <w:rPr>
                <w:rFonts w:hint="eastAsia" w:ascii="宋体" w:hAnsi="宋体"/>
                <w:szCs w:val="21"/>
              </w:rPr>
              <w:t>A-7比选供应商的业绩要求须满足第二章“比选供应商须知前附表”A.2.5项</w:t>
            </w:r>
            <w:r>
              <w:rPr>
                <w:rFonts w:hint="eastAsia" w:ascii="宋体" w:hAnsi="宋体" w:cs="宋体"/>
                <w:szCs w:val="21"/>
              </w:rPr>
              <w:t>规定</w:t>
            </w:r>
            <w:r>
              <w:rPr>
                <w:rFonts w:hint="eastAsia" w:ascii="宋体" w:hAnsi="宋体"/>
                <w:szCs w:val="21"/>
              </w:rPr>
              <w:t>，否则由评审委员会作否决处理。</w:t>
            </w:r>
          </w:p>
        </w:tc>
      </w:tr>
      <w:tr w14:paraId="000876D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899" w:type="dxa"/>
            <w:vMerge w:val="continue"/>
            <w:vAlign w:val="center"/>
          </w:tcPr>
          <w:p w14:paraId="1846330B">
            <w:pPr>
              <w:spacing w:line="380" w:lineRule="exact"/>
              <w:jc w:val="center"/>
              <w:rPr>
                <w:rFonts w:hint="eastAsia" w:ascii="宋体" w:hAnsi="宋体"/>
                <w:szCs w:val="21"/>
              </w:rPr>
            </w:pPr>
          </w:p>
        </w:tc>
        <w:tc>
          <w:tcPr>
            <w:tcW w:w="7151" w:type="dxa"/>
            <w:vAlign w:val="center"/>
          </w:tcPr>
          <w:p w14:paraId="5820DE99">
            <w:pPr>
              <w:spacing w:line="380" w:lineRule="exact"/>
              <w:ind w:firstLine="420" w:firstLineChars="200"/>
              <w:rPr>
                <w:rFonts w:hint="eastAsia" w:ascii="宋体" w:hAnsi="宋体"/>
                <w:szCs w:val="21"/>
              </w:rPr>
            </w:pPr>
            <w:r>
              <w:rPr>
                <w:rFonts w:hint="eastAsia" w:ascii="宋体" w:hAnsi="宋体"/>
                <w:szCs w:val="21"/>
              </w:rPr>
              <w:t>A-8比选供应商的信誉要求须满足第二章“比选供应商须知前附表”A.2.5项</w:t>
            </w:r>
            <w:r>
              <w:rPr>
                <w:rFonts w:hint="eastAsia" w:ascii="宋体" w:hAnsi="宋体" w:cs="宋体"/>
                <w:szCs w:val="21"/>
              </w:rPr>
              <w:t>规定</w:t>
            </w:r>
            <w:r>
              <w:rPr>
                <w:rFonts w:hint="eastAsia" w:ascii="宋体" w:hAnsi="宋体"/>
                <w:szCs w:val="21"/>
              </w:rPr>
              <w:t>，否则由评审委员会作否决处理。</w:t>
            </w:r>
          </w:p>
        </w:tc>
      </w:tr>
      <w:tr w14:paraId="4B6745E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899" w:type="dxa"/>
            <w:vMerge w:val="restart"/>
            <w:vAlign w:val="center"/>
          </w:tcPr>
          <w:p w14:paraId="5FC4C99C">
            <w:pPr>
              <w:spacing w:line="380" w:lineRule="exact"/>
              <w:jc w:val="center"/>
              <w:rPr>
                <w:rFonts w:hint="eastAsia" w:ascii="宋体" w:hAnsi="宋体"/>
                <w:szCs w:val="21"/>
              </w:rPr>
            </w:pPr>
            <w:r>
              <w:rPr>
                <w:rFonts w:hint="eastAsia" w:ascii="宋体" w:hAnsi="宋体"/>
                <w:szCs w:val="21"/>
              </w:rPr>
              <w:t>响应性评审</w:t>
            </w:r>
          </w:p>
        </w:tc>
        <w:tc>
          <w:tcPr>
            <w:tcW w:w="7151" w:type="dxa"/>
            <w:vAlign w:val="center"/>
          </w:tcPr>
          <w:p w14:paraId="1B7750E6">
            <w:pPr>
              <w:spacing w:line="380" w:lineRule="exact"/>
              <w:ind w:firstLine="420" w:firstLineChars="200"/>
              <w:rPr>
                <w:rFonts w:hint="eastAsia" w:ascii="宋体" w:hAnsi="宋体"/>
                <w:szCs w:val="21"/>
              </w:rPr>
            </w:pPr>
            <w:r>
              <w:rPr>
                <w:rFonts w:hint="eastAsia" w:ascii="宋体" w:hAnsi="宋体"/>
                <w:szCs w:val="21"/>
              </w:rPr>
              <w:t>A-9比选内容符合第二章“比选供应商须知前附表”第1.4项</w:t>
            </w:r>
            <w:r>
              <w:rPr>
                <w:rFonts w:hint="eastAsia" w:ascii="宋体" w:hAnsi="宋体" w:cs="宋体"/>
                <w:szCs w:val="21"/>
              </w:rPr>
              <w:t>规定</w:t>
            </w:r>
            <w:r>
              <w:rPr>
                <w:rFonts w:hint="eastAsia" w:ascii="宋体" w:hAnsi="宋体"/>
                <w:szCs w:val="21"/>
              </w:rPr>
              <w:t>，否则由评审委员会作否决处理。</w:t>
            </w:r>
          </w:p>
        </w:tc>
      </w:tr>
      <w:tr w14:paraId="5B21102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899" w:type="dxa"/>
            <w:vMerge w:val="continue"/>
            <w:vAlign w:val="center"/>
          </w:tcPr>
          <w:p w14:paraId="53F140D3">
            <w:pPr>
              <w:spacing w:line="380" w:lineRule="exact"/>
              <w:jc w:val="center"/>
              <w:rPr>
                <w:rFonts w:hint="eastAsia" w:ascii="宋体" w:hAnsi="宋体"/>
                <w:szCs w:val="21"/>
              </w:rPr>
            </w:pPr>
          </w:p>
        </w:tc>
        <w:tc>
          <w:tcPr>
            <w:tcW w:w="7151" w:type="dxa"/>
            <w:vAlign w:val="center"/>
          </w:tcPr>
          <w:p w14:paraId="6950C84D">
            <w:pPr>
              <w:spacing w:line="380" w:lineRule="exact"/>
              <w:ind w:firstLine="420" w:firstLineChars="200"/>
              <w:rPr>
                <w:rFonts w:hint="eastAsia" w:ascii="宋体" w:hAnsi="宋体"/>
                <w:szCs w:val="21"/>
              </w:rPr>
            </w:pPr>
            <w:r>
              <w:rPr>
                <w:rFonts w:hint="eastAsia" w:ascii="宋体" w:hAnsi="宋体"/>
                <w:szCs w:val="21"/>
              </w:rPr>
              <w:t>A-</w:t>
            </w:r>
            <w:r>
              <w:rPr>
                <w:rFonts w:ascii="宋体" w:hAnsi="宋体"/>
                <w:szCs w:val="21"/>
              </w:rPr>
              <w:t>1</w:t>
            </w:r>
            <w:r>
              <w:rPr>
                <w:rFonts w:hint="eastAsia" w:ascii="宋体" w:hAnsi="宋体"/>
                <w:szCs w:val="21"/>
              </w:rPr>
              <w:t>0</w:t>
            </w:r>
            <w:r>
              <w:rPr>
                <w:rFonts w:hint="eastAsia" w:ascii="宋体" w:hAnsi="宋体" w:cs="宋体"/>
                <w:bCs/>
                <w:szCs w:val="21"/>
              </w:rPr>
              <w:t>交货期</w:t>
            </w:r>
            <w:r>
              <w:rPr>
                <w:rFonts w:hint="eastAsia" w:ascii="宋体" w:hAnsi="宋体"/>
                <w:szCs w:val="21"/>
              </w:rPr>
              <w:t>符合第二章“比选供应商须知前附表”第1.5项</w:t>
            </w:r>
            <w:r>
              <w:rPr>
                <w:rFonts w:hint="eastAsia" w:ascii="宋体" w:hAnsi="宋体" w:cs="宋体"/>
                <w:szCs w:val="21"/>
              </w:rPr>
              <w:t>规定</w:t>
            </w:r>
            <w:r>
              <w:rPr>
                <w:rFonts w:hint="eastAsia" w:ascii="宋体" w:hAnsi="宋体"/>
                <w:szCs w:val="21"/>
              </w:rPr>
              <w:t>，否则由评审委员会作否决处理。</w:t>
            </w:r>
          </w:p>
        </w:tc>
      </w:tr>
      <w:tr w14:paraId="2AC7226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899" w:type="dxa"/>
            <w:vMerge w:val="continue"/>
            <w:vAlign w:val="center"/>
          </w:tcPr>
          <w:p w14:paraId="1E75B4BC">
            <w:pPr>
              <w:spacing w:line="380" w:lineRule="exact"/>
              <w:jc w:val="center"/>
              <w:rPr>
                <w:rFonts w:hint="eastAsia" w:ascii="宋体" w:hAnsi="宋体"/>
                <w:szCs w:val="21"/>
              </w:rPr>
            </w:pPr>
          </w:p>
        </w:tc>
        <w:tc>
          <w:tcPr>
            <w:tcW w:w="7151" w:type="dxa"/>
            <w:vAlign w:val="center"/>
          </w:tcPr>
          <w:p w14:paraId="24A360D9">
            <w:pPr>
              <w:spacing w:line="380" w:lineRule="exact"/>
              <w:ind w:firstLine="420" w:firstLineChars="200"/>
              <w:rPr>
                <w:rFonts w:hint="eastAsia" w:ascii="宋体" w:hAnsi="宋体"/>
                <w:szCs w:val="21"/>
              </w:rPr>
            </w:pPr>
            <w:r>
              <w:rPr>
                <w:rFonts w:hint="eastAsia" w:ascii="宋体" w:hAnsi="宋体"/>
                <w:szCs w:val="21"/>
              </w:rPr>
              <w:t>A-11</w:t>
            </w:r>
            <w:r>
              <w:rPr>
                <w:rFonts w:hint="eastAsia" w:ascii="宋体" w:hAnsi="宋体" w:cs="宋体"/>
                <w:kern w:val="0"/>
              </w:rPr>
              <w:t>交货地点</w:t>
            </w:r>
            <w:r>
              <w:rPr>
                <w:rFonts w:hint="eastAsia" w:ascii="宋体" w:hAnsi="宋体"/>
                <w:szCs w:val="21"/>
              </w:rPr>
              <w:t>符合第二章“比选供应商须知前附表”第1.6项</w:t>
            </w:r>
            <w:r>
              <w:rPr>
                <w:rFonts w:hint="eastAsia" w:ascii="宋体" w:hAnsi="宋体" w:cs="宋体"/>
                <w:szCs w:val="21"/>
              </w:rPr>
              <w:t>规定</w:t>
            </w:r>
            <w:r>
              <w:rPr>
                <w:rFonts w:hint="eastAsia" w:ascii="宋体" w:hAnsi="宋体"/>
                <w:szCs w:val="21"/>
              </w:rPr>
              <w:t>，否则由评审委员会作否决处理。</w:t>
            </w:r>
          </w:p>
        </w:tc>
      </w:tr>
      <w:tr w14:paraId="3169B88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899" w:type="dxa"/>
            <w:vMerge w:val="continue"/>
            <w:vAlign w:val="center"/>
          </w:tcPr>
          <w:p w14:paraId="34806EEA">
            <w:pPr>
              <w:spacing w:line="380" w:lineRule="exact"/>
              <w:jc w:val="center"/>
              <w:rPr>
                <w:rFonts w:hint="eastAsia" w:ascii="宋体" w:hAnsi="宋体"/>
                <w:szCs w:val="21"/>
              </w:rPr>
            </w:pPr>
          </w:p>
        </w:tc>
        <w:tc>
          <w:tcPr>
            <w:tcW w:w="7151" w:type="dxa"/>
            <w:vAlign w:val="center"/>
          </w:tcPr>
          <w:p w14:paraId="3E2BCD24">
            <w:pPr>
              <w:spacing w:line="380" w:lineRule="exact"/>
              <w:ind w:firstLine="420" w:firstLineChars="200"/>
              <w:rPr>
                <w:rFonts w:hint="eastAsia" w:ascii="宋体" w:hAnsi="宋体"/>
                <w:szCs w:val="21"/>
              </w:rPr>
            </w:pPr>
            <w:r>
              <w:rPr>
                <w:rFonts w:hint="eastAsia" w:ascii="宋体" w:hAnsi="宋体"/>
                <w:szCs w:val="21"/>
              </w:rPr>
              <w:t>A-12</w:t>
            </w:r>
            <w:r>
              <w:rPr>
                <w:rFonts w:hint="eastAsia" w:ascii="宋体" w:hAnsi="宋体" w:cs="宋体"/>
                <w:kern w:val="0"/>
              </w:rPr>
              <w:t>质量保修期</w:t>
            </w:r>
            <w:r>
              <w:rPr>
                <w:rFonts w:hint="eastAsia" w:ascii="宋体" w:hAnsi="宋体"/>
                <w:szCs w:val="21"/>
              </w:rPr>
              <w:t>符合第二章“比选供应商须知前附表”第1.7项</w:t>
            </w:r>
            <w:r>
              <w:rPr>
                <w:rFonts w:hint="eastAsia" w:ascii="宋体" w:hAnsi="宋体" w:cs="宋体"/>
                <w:szCs w:val="21"/>
              </w:rPr>
              <w:t>规定</w:t>
            </w:r>
            <w:r>
              <w:rPr>
                <w:rFonts w:hint="eastAsia" w:ascii="宋体" w:hAnsi="宋体"/>
                <w:szCs w:val="21"/>
              </w:rPr>
              <w:t>，否则由评审委员会作否决处理。</w:t>
            </w:r>
          </w:p>
        </w:tc>
      </w:tr>
      <w:tr w14:paraId="1A00ECD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899" w:type="dxa"/>
            <w:vMerge w:val="continue"/>
            <w:vAlign w:val="center"/>
          </w:tcPr>
          <w:p w14:paraId="3FD88302">
            <w:pPr>
              <w:spacing w:line="380" w:lineRule="exact"/>
              <w:jc w:val="center"/>
              <w:rPr>
                <w:rFonts w:hint="eastAsia" w:ascii="宋体" w:hAnsi="宋体"/>
                <w:szCs w:val="21"/>
              </w:rPr>
            </w:pPr>
          </w:p>
        </w:tc>
        <w:tc>
          <w:tcPr>
            <w:tcW w:w="7151" w:type="dxa"/>
            <w:vAlign w:val="center"/>
          </w:tcPr>
          <w:p w14:paraId="7026C282">
            <w:pPr>
              <w:spacing w:line="380" w:lineRule="exact"/>
              <w:ind w:firstLine="420" w:firstLineChars="200"/>
              <w:rPr>
                <w:rFonts w:hint="eastAsia" w:ascii="宋体" w:hAnsi="宋体"/>
                <w:szCs w:val="21"/>
              </w:rPr>
            </w:pPr>
            <w:r>
              <w:rPr>
                <w:rFonts w:hint="eastAsia" w:ascii="宋体" w:hAnsi="宋体"/>
                <w:szCs w:val="21"/>
              </w:rPr>
              <w:t>A-</w:t>
            </w:r>
            <w:r>
              <w:rPr>
                <w:rFonts w:ascii="宋体" w:hAnsi="宋体"/>
                <w:szCs w:val="21"/>
              </w:rPr>
              <w:t>1</w:t>
            </w:r>
            <w:r>
              <w:rPr>
                <w:rFonts w:hint="eastAsia" w:ascii="宋体" w:hAnsi="宋体"/>
                <w:szCs w:val="21"/>
              </w:rPr>
              <w:t>3</w:t>
            </w:r>
            <w:r>
              <w:rPr>
                <w:rFonts w:hint="eastAsia" w:ascii="宋体" w:hAnsi="宋体" w:cs="宋体"/>
                <w:kern w:val="0"/>
              </w:rPr>
              <w:t>质量要求</w:t>
            </w:r>
            <w:r>
              <w:rPr>
                <w:rFonts w:hint="eastAsia" w:ascii="宋体" w:hAnsi="宋体"/>
                <w:szCs w:val="21"/>
              </w:rPr>
              <w:t>符合第二章“比选供应商须知前附表”第1.8项</w:t>
            </w:r>
            <w:r>
              <w:rPr>
                <w:rFonts w:hint="eastAsia" w:ascii="宋体" w:hAnsi="宋体" w:cs="宋体"/>
                <w:szCs w:val="21"/>
              </w:rPr>
              <w:t>规定</w:t>
            </w:r>
            <w:r>
              <w:rPr>
                <w:rFonts w:hint="eastAsia" w:ascii="宋体" w:hAnsi="宋体"/>
                <w:szCs w:val="21"/>
              </w:rPr>
              <w:t>，否则由评审委员会作否决处理。</w:t>
            </w:r>
          </w:p>
        </w:tc>
      </w:tr>
      <w:tr w14:paraId="0E51EF6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899" w:type="dxa"/>
            <w:vMerge w:val="continue"/>
            <w:vAlign w:val="center"/>
          </w:tcPr>
          <w:p w14:paraId="3089BD82">
            <w:pPr>
              <w:spacing w:line="380" w:lineRule="exact"/>
              <w:jc w:val="center"/>
              <w:rPr>
                <w:rFonts w:hint="eastAsia" w:ascii="宋体" w:hAnsi="宋体"/>
                <w:szCs w:val="21"/>
              </w:rPr>
            </w:pPr>
          </w:p>
        </w:tc>
        <w:tc>
          <w:tcPr>
            <w:tcW w:w="7151" w:type="dxa"/>
            <w:vAlign w:val="center"/>
          </w:tcPr>
          <w:p w14:paraId="2F37E4D1">
            <w:pPr>
              <w:spacing w:line="380" w:lineRule="exact"/>
              <w:ind w:firstLine="420" w:firstLineChars="200"/>
              <w:rPr>
                <w:rFonts w:hint="eastAsia" w:ascii="宋体" w:hAnsi="宋体"/>
                <w:szCs w:val="21"/>
              </w:rPr>
            </w:pPr>
            <w:r>
              <w:rPr>
                <w:rFonts w:hint="eastAsia" w:ascii="宋体" w:hAnsi="宋体"/>
                <w:szCs w:val="21"/>
              </w:rPr>
              <w:t>A-</w:t>
            </w:r>
            <w:r>
              <w:rPr>
                <w:rFonts w:ascii="宋体" w:hAnsi="宋体"/>
                <w:szCs w:val="21"/>
              </w:rPr>
              <w:t>1</w:t>
            </w:r>
            <w:r>
              <w:rPr>
                <w:rFonts w:hint="eastAsia" w:ascii="宋体" w:hAnsi="宋体"/>
                <w:szCs w:val="21"/>
              </w:rPr>
              <w:t>4</w:t>
            </w:r>
            <w:r>
              <w:rPr>
                <w:rFonts w:hint="eastAsia" w:ascii="宋体" w:hAnsi="宋体" w:cs="宋体"/>
                <w:kern w:val="0"/>
              </w:rPr>
              <w:t>比选保证金</w:t>
            </w:r>
            <w:r>
              <w:rPr>
                <w:rFonts w:hint="eastAsia" w:ascii="宋体" w:hAnsi="宋体"/>
                <w:szCs w:val="21"/>
              </w:rPr>
              <w:t>符合第二章“比选供应商须知前附表”C.12项</w:t>
            </w:r>
            <w:r>
              <w:rPr>
                <w:rFonts w:hint="eastAsia" w:ascii="宋体" w:hAnsi="宋体" w:cs="宋体"/>
                <w:szCs w:val="21"/>
              </w:rPr>
              <w:t>规定</w:t>
            </w:r>
            <w:r>
              <w:rPr>
                <w:rFonts w:hint="eastAsia" w:ascii="宋体" w:hAnsi="宋体"/>
                <w:szCs w:val="21"/>
              </w:rPr>
              <w:t>，否则由评审委员会作否决处理。</w:t>
            </w:r>
          </w:p>
        </w:tc>
      </w:tr>
      <w:tr w14:paraId="5D280E4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899" w:type="dxa"/>
            <w:vMerge w:val="continue"/>
            <w:vAlign w:val="center"/>
          </w:tcPr>
          <w:p w14:paraId="785B3011">
            <w:pPr>
              <w:spacing w:line="380" w:lineRule="exact"/>
              <w:jc w:val="center"/>
              <w:rPr>
                <w:rFonts w:hint="eastAsia" w:ascii="宋体" w:hAnsi="宋体"/>
                <w:szCs w:val="21"/>
              </w:rPr>
            </w:pPr>
          </w:p>
        </w:tc>
        <w:tc>
          <w:tcPr>
            <w:tcW w:w="7151" w:type="dxa"/>
            <w:vAlign w:val="center"/>
          </w:tcPr>
          <w:p w14:paraId="5D4FE599">
            <w:pPr>
              <w:spacing w:line="380" w:lineRule="exact"/>
              <w:ind w:firstLine="420" w:firstLineChars="200"/>
              <w:rPr>
                <w:rFonts w:hint="eastAsia" w:ascii="宋体" w:hAnsi="宋体"/>
                <w:szCs w:val="21"/>
              </w:rPr>
            </w:pPr>
            <w:r>
              <w:rPr>
                <w:rFonts w:hint="eastAsia" w:ascii="宋体" w:hAnsi="宋体"/>
                <w:szCs w:val="21"/>
              </w:rPr>
              <w:t>A-15</w:t>
            </w:r>
            <w:r>
              <w:rPr>
                <w:rFonts w:hint="eastAsia" w:ascii="宋体" w:hAnsi="宋体" w:cs="宋体"/>
                <w:kern w:val="0"/>
              </w:rPr>
              <w:t>比选有效期</w:t>
            </w:r>
            <w:r>
              <w:rPr>
                <w:rFonts w:hint="eastAsia" w:ascii="宋体" w:hAnsi="宋体"/>
                <w:szCs w:val="21"/>
              </w:rPr>
              <w:t>符合第二章“比选供应商须知前附表”C.13项</w:t>
            </w:r>
            <w:r>
              <w:rPr>
                <w:rFonts w:hint="eastAsia" w:ascii="宋体" w:hAnsi="宋体" w:cs="宋体"/>
                <w:szCs w:val="21"/>
              </w:rPr>
              <w:t>规定</w:t>
            </w:r>
            <w:r>
              <w:rPr>
                <w:rFonts w:hint="eastAsia" w:ascii="宋体" w:hAnsi="宋体"/>
                <w:szCs w:val="21"/>
              </w:rPr>
              <w:t>，否则由评审委员会作否决处理。</w:t>
            </w:r>
          </w:p>
        </w:tc>
      </w:tr>
      <w:tr w14:paraId="7618F0E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899" w:type="dxa"/>
            <w:vMerge w:val="continue"/>
            <w:vAlign w:val="center"/>
          </w:tcPr>
          <w:p w14:paraId="64B97324">
            <w:pPr>
              <w:spacing w:line="380" w:lineRule="exact"/>
              <w:jc w:val="center"/>
              <w:rPr>
                <w:rFonts w:hint="eastAsia" w:ascii="宋体" w:hAnsi="宋体"/>
                <w:szCs w:val="21"/>
              </w:rPr>
            </w:pPr>
          </w:p>
        </w:tc>
        <w:tc>
          <w:tcPr>
            <w:tcW w:w="7151" w:type="dxa"/>
            <w:vAlign w:val="center"/>
          </w:tcPr>
          <w:p w14:paraId="39831DBF">
            <w:pPr>
              <w:spacing w:line="380" w:lineRule="exact"/>
              <w:ind w:firstLine="420" w:firstLineChars="200"/>
              <w:rPr>
                <w:rFonts w:hint="eastAsia" w:ascii="宋体" w:hAnsi="宋体"/>
                <w:szCs w:val="21"/>
              </w:rPr>
            </w:pPr>
            <w:r>
              <w:rPr>
                <w:rFonts w:hint="eastAsia" w:ascii="宋体" w:hAnsi="宋体"/>
                <w:szCs w:val="21"/>
              </w:rPr>
              <w:t>A-16响应文件不应附有比选人不能接受的条件。否则由评审委员会作否决处理。</w:t>
            </w:r>
          </w:p>
        </w:tc>
      </w:tr>
      <w:tr w14:paraId="425C17C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899" w:type="dxa"/>
            <w:vMerge w:val="continue"/>
            <w:vAlign w:val="center"/>
          </w:tcPr>
          <w:p w14:paraId="35DF3A9E">
            <w:pPr>
              <w:spacing w:line="380" w:lineRule="exact"/>
              <w:jc w:val="center"/>
              <w:rPr>
                <w:rFonts w:hint="eastAsia" w:ascii="宋体" w:hAnsi="宋体"/>
                <w:szCs w:val="21"/>
              </w:rPr>
            </w:pPr>
          </w:p>
        </w:tc>
        <w:tc>
          <w:tcPr>
            <w:tcW w:w="7151" w:type="dxa"/>
            <w:vAlign w:val="center"/>
          </w:tcPr>
          <w:p w14:paraId="4FD891BE">
            <w:pPr>
              <w:spacing w:line="380" w:lineRule="exact"/>
              <w:ind w:firstLine="420" w:firstLineChars="200"/>
              <w:rPr>
                <w:rFonts w:hint="eastAsia" w:ascii="宋体" w:hAnsi="宋体"/>
                <w:szCs w:val="21"/>
              </w:rPr>
            </w:pPr>
            <w:r>
              <w:rPr>
                <w:rFonts w:hint="eastAsia" w:ascii="宋体" w:hAnsi="宋体"/>
                <w:szCs w:val="21"/>
              </w:rPr>
              <w:t>A-17</w:t>
            </w:r>
            <w:r>
              <w:rPr>
                <w:rFonts w:hint="eastAsia" w:ascii="宋体" w:hAnsi="宋体" w:cs="宋体"/>
                <w:kern w:val="0"/>
              </w:rPr>
              <w:t>比选报价</w:t>
            </w:r>
            <w:r>
              <w:rPr>
                <w:rFonts w:hint="eastAsia" w:ascii="宋体" w:hAnsi="宋体"/>
                <w:szCs w:val="21"/>
              </w:rPr>
              <w:t>不高于相应的最高限价，且符合比选文件的规定。否则由评审委员会作否决处理。</w:t>
            </w:r>
          </w:p>
        </w:tc>
      </w:tr>
      <w:tr w14:paraId="5D1CD39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899" w:type="dxa"/>
            <w:vMerge w:val="continue"/>
            <w:vAlign w:val="center"/>
          </w:tcPr>
          <w:p w14:paraId="620889B3">
            <w:pPr>
              <w:spacing w:line="380" w:lineRule="exact"/>
              <w:jc w:val="center"/>
              <w:rPr>
                <w:rFonts w:hint="eastAsia" w:ascii="宋体" w:hAnsi="宋体"/>
                <w:szCs w:val="21"/>
              </w:rPr>
            </w:pPr>
          </w:p>
        </w:tc>
        <w:tc>
          <w:tcPr>
            <w:tcW w:w="7151" w:type="dxa"/>
            <w:vAlign w:val="center"/>
          </w:tcPr>
          <w:p w14:paraId="7C978D83">
            <w:pPr>
              <w:spacing w:line="380" w:lineRule="exact"/>
              <w:ind w:firstLine="420" w:firstLineChars="200"/>
              <w:rPr>
                <w:rFonts w:hint="eastAsia" w:ascii="宋体" w:hAnsi="宋体"/>
                <w:szCs w:val="21"/>
              </w:rPr>
            </w:pPr>
            <w:r>
              <w:rPr>
                <w:rFonts w:hint="eastAsia" w:ascii="宋体" w:hAnsi="宋体"/>
                <w:szCs w:val="21"/>
              </w:rPr>
              <w:t>A-18</w:t>
            </w:r>
            <w:r>
              <w:rPr>
                <w:rFonts w:hint="eastAsia" w:ascii="宋体" w:hAnsi="宋体"/>
                <w:color w:val="000000" w:themeColor="text1"/>
                <w:szCs w:val="21"/>
                <w:lang w:val="en-US" w:eastAsia="zh-CN"/>
                <w14:textFill>
                  <w14:solidFill>
                    <w14:schemeClr w14:val="tx1"/>
                  </w14:solidFill>
                </w14:textFill>
              </w:rPr>
              <w:t>其他</w:t>
            </w:r>
            <w:r>
              <w:rPr>
                <w:rFonts w:hint="eastAsia" w:ascii="宋体" w:hAnsi="宋体"/>
                <w:color w:val="000000" w:themeColor="text1"/>
                <w:szCs w:val="21"/>
                <w14:textFill>
                  <w14:solidFill>
                    <w14:schemeClr w14:val="tx1"/>
                  </w14:solidFill>
                </w14:textFill>
              </w:rPr>
              <w:t>需求</w:t>
            </w:r>
            <w:r>
              <w:rPr>
                <w:rFonts w:hint="eastAsia" w:ascii="宋体" w:hAnsi="宋体"/>
                <w:color w:val="000000" w:themeColor="text1"/>
                <w:kern w:val="0"/>
                <w:szCs w:val="21"/>
                <w14:textFill>
                  <w14:solidFill>
                    <w14:schemeClr w14:val="tx1"/>
                  </w14:solidFill>
                </w14:textFill>
              </w:rPr>
              <w:t>符合第四章“</w:t>
            </w:r>
            <w:r>
              <w:rPr>
                <w:rFonts w:hint="eastAsia" w:ascii="宋体" w:hAnsi="宋体" w:cs="宋体"/>
                <w:color w:val="000000" w:themeColor="text1"/>
                <w:kern w:val="0"/>
                <w14:textFill>
                  <w14:solidFill>
                    <w14:schemeClr w14:val="tx1"/>
                  </w14:solidFill>
                </w14:textFill>
              </w:rPr>
              <w:t>项目概况和要求</w:t>
            </w:r>
            <w:r>
              <w:rPr>
                <w:rFonts w:hint="eastAsia" w:ascii="宋体" w:hAnsi="宋体"/>
                <w:color w:val="000000" w:themeColor="text1"/>
                <w:kern w:val="0"/>
                <w:szCs w:val="21"/>
                <w14:textFill>
                  <w14:solidFill>
                    <w14:schemeClr w14:val="tx1"/>
                  </w14:solidFill>
                </w14:textFill>
              </w:rPr>
              <w:t>”</w:t>
            </w:r>
            <w:r>
              <w:rPr>
                <w:rFonts w:hint="eastAsia" w:ascii="宋体" w:hAnsi="宋体"/>
                <w:color w:val="000000" w:themeColor="text1"/>
                <w:kern w:val="0"/>
                <w:szCs w:val="21"/>
                <w:lang w:val="en-US" w:eastAsia="zh-CN"/>
                <w14:textFill>
                  <w14:solidFill>
                    <w14:schemeClr w14:val="tx1"/>
                  </w14:solidFill>
                </w14:textFill>
              </w:rPr>
              <w:t>和第五章“合同条款”</w:t>
            </w:r>
            <w:r>
              <w:rPr>
                <w:rFonts w:hint="eastAsia" w:ascii="宋体" w:hAnsi="宋体"/>
                <w:color w:val="000000" w:themeColor="text1"/>
                <w:kern w:val="0"/>
                <w:szCs w:val="21"/>
                <w14:textFill>
                  <w14:solidFill>
                    <w14:schemeClr w14:val="tx1"/>
                  </w14:solidFill>
                </w14:textFill>
              </w:rPr>
              <w:t>中的实质性要求和条件</w:t>
            </w:r>
            <w:r>
              <w:rPr>
                <w:rFonts w:hint="eastAsia" w:ascii="宋体" w:hAnsi="宋体"/>
                <w:color w:val="000000" w:themeColor="text1"/>
                <w:szCs w:val="21"/>
                <w14:textFill>
                  <w14:solidFill>
                    <w14:schemeClr w14:val="tx1"/>
                  </w14:solidFill>
                </w14:textFill>
              </w:rPr>
              <w:t>。否则由评标委员会作否决处理。</w:t>
            </w:r>
          </w:p>
        </w:tc>
      </w:tr>
      <w:tr w14:paraId="3DA56FF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22" w:hRule="atLeast"/>
          <w:jc w:val="center"/>
        </w:trPr>
        <w:tc>
          <w:tcPr>
            <w:tcW w:w="1899" w:type="dxa"/>
            <w:vAlign w:val="center"/>
          </w:tcPr>
          <w:p w14:paraId="35EE7BE9">
            <w:pPr>
              <w:spacing w:line="380" w:lineRule="exact"/>
              <w:jc w:val="center"/>
              <w:rPr>
                <w:rFonts w:hint="eastAsia" w:ascii="宋体" w:hAnsi="宋体"/>
                <w:szCs w:val="21"/>
              </w:rPr>
            </w:pPr>
            <w:r>
              <w:rPr>
                <w:rFonts w:hint="eastAsia" w:ascii="宋体" w:hAnsi="宋体"/>
                <w:szCs w:val="21"/>
              </w:rPr>
              <w:t>其他</w:t>
            </w:r>
          </w:p>
        </w:tc>
        <w:tc>
          <w:tcPr>
            <w:tcW w:w="7151" w:type="dxa"/>
            <w:vAlign w:val="center"/>
          </w:tcPr>
          <w:p w14:paraId="19145FA1">
            <w:pPr>
              <w:spacing w:line="380" w:lineRule="exact"/>
              <w:jc w:val="center"/>
              <w:rPr>
                <w:rFonts w:hint="eastAsia" w:ascii="宋体" w:hAnsi="宋体"/>
                <w:szCs w:val="21"/>
              </w:rPr>
            </w:pPr>
            <w:r>
              <w:rPr>
                <w:rFonts w:hint="eastAsia" w:ascii="宋体" w:hAnsi="宋体"/>
                <w:szCs w:val="21"/>
                <w:lang w:val="en-US" w:eastAsia="zh-CN"/>
              </w:rPr>
              <w:t xml:space="preserve">    </w:t>
            </w:r>
            <w:r>
              <w:rPr>
                <w:rFonts w:hint="eastAsia" w:ascii="宋体" w:hAnsi="宋体"/>
                <w:szCs w:val="21"/>
              </w:rPr>
              <w:t>A-1</w:t>
            </w:r>
            <w:r>
              <w:rPr>
                <w:rFonts w:hint="eastAsia" w:ascii="宋体" w:hAnsi="宋体"/>
                <w:szCs w:val="21"/>
                <w:lang w:val="en-US" w:eastAsia="zh-CN"/>
              </w:rPr>
              <w:t>9</w:t>
            </w:r>
            <w:r>
              <w:rPr>
                <w:rFonts w:hint="eastAsia" w:ascii="宋体" w:hAnsi="宋体"/>
                <w:szCs w:val="21"/>
              </w:rPr>
              <w:t>响应文件</w:t>
            </w:r>
            <w:r>
              <w:rPr>
                <w:rFonts w:hint="eastAsia" w:ascii="宋体" w:hAnsi="宋体"/>
                <w:szCs w:val="21"/>
                <w:lang w:val="en-US" w:eastAsia="zh-CN"/>
              </w:rPr>
              <w:t>应满足</w:t>
            </w:r>
            <w:r>
              <w:rPr>
                <w:rFonts w:hint="eastAsia" w:ascii="宋体" w:hAnsi="宋体"/>
                <w:color w:val="000000" w:themeColor="text1"/>
                <w:kern w:val="0"/>
                <w:szCs w:val="21"/>
                <w14:textFill>
                  <w14:solidFill>
                    <w14:schemeClr w14:val="tx1"/>
                  </w14:solidFill>
                </w14:textFill>
              </w:rPr>
              <w:t>第</w:t>
            </w:r>
            <w:r>
              <w:rPr>
                <w:rFonts w:hint="eastAsia" w:ascii="宋体" w:hAnsi="宋体"/>
                <w:color w:val="000000" w:themeColor="text1"/>
                <w:kern w:val="0"/>
                <w:szCs w:val="21"/>
                <w:lang w:val="en-US" w:eastAsia="zh-CN"/>
                <w14:textFill>
                  <w14:solidFill>
                    <w14:schemeClr w14:val="tx1"/>
                  </w14:solidFill>
                </w14:textFill>
              </w:rPr>
              <w:t>三</w:t>
            </w:r>
            <w:r>
              <w:rPr>
                <w:rFonts w:hint="eastAsia" w:ascii="宋体" w:hAnsi="宋体"/>
                <w:color w:val="000000" w:themeColor="text1"/>
                <w:kern w:val="0"/>
                <w:szCs w:val="21"/>
                <w14:textFill>
                  <w14:solidFill>
                    <w14:schemeClr w14:val="tx1"/>
                  </w14:solidFill>
                </w14:textFill>
              </w:rPr>
              <w:t>章“</w:t>
            </w:r>
            <w:r>
              <w:rPr>
                <w:rFonts w:hint="eastAsia" w:ascii="宋体" w:hAnsi="宋体" w:cs="宋体"/>
                <w:color w:val="000000" w:themeColor="text1"/>
                <w:kern w:val="0"/>
                <w:lang w:val="en-US" w:eastAsia="zh-CN"/>
                <w14:textFill>
                  <w14:solidFill>
                    <w14:schemeClr w14:val="tx1"/>
                  </w14:solidFill>
                </w14:textFill>
              </w:rPr>
              <w:t>评审办法</w:t>
            </w:r>
            <w:r>
              <w:rPr>
                <w:rFonts w:hint="eastAsia" w:ascii="宋体" w:hAnsi="宋体"/>
                <w:color w:val="000000" w:themeColor="text1"/>
                <w:kern w:val="0"/>
                <w:szCs w:val="21"/>
                <w14:textFill>
                  <w14:solidFill>
                    <w14:schemeClr w14:val="tx1"/>
                  </w14:solidFill>
                </w14:textFill>
              </w:rPr>
              <w:t>”</w:t>
            </w:r>
            <w:r>
              <w:rPr>
                <w:rFonts w:hint="eastAsia" w:ascii="宋体" w:hAnsi="宋体"/>
                <w:color w:val="000000" w:themeColor="text1"/>
                <w:kern w:val="0"/>
                <w:szCs w:val="21"/>
                <w:lang w:val="en-US" w:eastAsia="zh-CN"/>
                <w14:textFill>
                  <w14:solidFill>
                    <w14:schemeClr w14:val="tx1"/>
                  </w14:solidFill>
                </w14:textFill>
              </w:rPr>
              <w:t>第2.2条 详细评审标准及第3条评标程序</w:t>
            </w:r>
            <w:r>
              <w:rPr>
                <w:rFonts w:hint="eastAsia" w:ascii="宋体" w:hAnsi="宋体"/>
                <w:color w:val="000000" w:themeColor="text1"/>
                <w:kern w:val="0"/>
                <w:szCs w:val="21"/>
                <w14:textFill>
                  <w14:solidFill>
                    <w14:schemeClr w14:val="tx1"/>
                  </w14:solidFill>
                </w14:textFill>
              </w:rPr>
              <w:t>中的实质性要求和条件</w:t>
            </w:r>
            <w:r>
              <w:rPr>
                <w:rFonts w:hint="eastAsia" w:ascii="宋体" w:hAnsi="宋体"/>
                <w:color w:val="000000" w:themeColor="text1"/>
                <w:szCs w:val="21"/>
                <w14:textFill>
                  <w14:solidFill>
                    <w14:schemeClr w14:val="tx1"/>
                  </w14:solidFill>
                </w14:textFill>
              </w:rPr>
              <w:t>。否则由评标委员会作否决处理。</w:t>
            </w:r>
          </w:p>
        </w:tc>
      </w:tr>
      <w:bookmarkEnd w:id="762"/>
      <w:bookmarkEnd w:id="763"/>
    </w:tbl>
    <w:p w14:paraId="0EC62836">
      <w:pPr>
        <w:pStyle w:val="43"/>
      </w:pPr>
      <w:r>
        <w:br w:type="page"/>
      </w:r>
    </w:p>
    <w:p w14:paraId="63015749">
      <w:pPr>
        <w:keepNext/>
        <w:spacing w:line="360" w:lineRule="auto"/>
        <w:jc w:val="center"/>
        <w:outlineLvl w:val="0"/>
      </w:pPr>
      <w:bookmarkStart w:id="764" w:name="_Toc4819"/>
      <w:bookmarkStart w:id="765" w:name="_Toc32152"/>
      <w:r>
        <w:rPr>
          <w:rFonts w:hint="eastAsia" w:ascii="宋体" w:hAnsi="宋体" w:cs="宋体"/>
          <w:b/>
          <w:sz w:val="44"/>
          <w:szCs w:val="44"/>
        </w:rPr>
        <w:t>第</w:t>
      </w:r>
      <w:bookmarkStart w:id="766" w:name="_Toc101239923"/>
      <w:r>
        <w:rPr>
          <w:rFonts w:hint="eastAsia" w:ascii="宋体" w:hAnsi="宋体" w:cs="宋体"/>
          <w:b/>
          <w:sz w:val="44"/>
          <w:szCs w:val="44"/>
        </w:rPr>
        <w:t xml:space="preserve">四章  </w:t>
      </w:r>
      <w:bookmarkStart w:id="767" w:name="_Hlk5095524"/>
      <w:r>
        <w:rPr>
          <w:rFonts w:hint="eastAsia" w:ascii="宋体" w:hAnsi="宋体" w:cs="宋体"/>
          <w:b/>
          <w:sz w:val="44"/>
          <w:szCs w:val="44"/>
        </w:rPr>
        <w:t>项目概况及要求</w:t>
      </w:r>
      <w:bookmarkEnd w:id="657"/>
      <w:bookmarkEnd w:id="764"/>
      <w:bookmarkEnd w:id="765"/>
      <w:bookmarkEnd w:id="767"/>
    </w:p>
    <w:p w14:paraId="457E8A26">
      <w:pPr>
        <w:pStyle w:val="3"/>
        <w:spacing w:before="0" w:after="0" w:line="420" w:lineRule="exact"/>
        <w:rPr>
          <w:rFonts w:hint="eastAsia" w:ascii="宋体" w:hAnsi="宋体" w:eastAsia="宋体" w:cs="宋体"/>
          <w:sz w:val="21"/>
          <w:szCs w:val="21"/>
        </w:rPr>
      </w:pPr>
      <w:bookmarkStart w:id="768" w:name="_Toc146489875"/>
      <w:bookmarkStart w:id="769" w:name="_Toc148061406"/>
      <w:bookmarkStart w:id="770" w:name="_Toc19099"/>
      <w:bookmarkStart w:id="771" w:name="_Toc23762"/>
      <w:bookmarkStart w:id="772" w:name="_Toc19217"/>
      <w:bookmarkStart w:id="773" w:name="_Toc13396"/>
      <w:bookmarkStart w:id="774" w:name="_Toc89204749"/>
      <w:bookmarkStart w:id="775" w:name="_Toc63062873"/>
      <w:bookmarkStart w:id="776" w:name="_Toc267320049"/>
      <w:r>
        <w:rPr>
          <w:rFonts w:hint="eastAsia" w:ascii="宋体" w:hAnsi="宋体" w:eastAsia="宋体" w:cs="宋体"/>
          <w:sz w:val="21"/>
          <w:szCs w:val="21"/>
        </w:rPr>
        <w:t>一、</w:t>
      </w:r>
      <w:bookmarkEnd w:id="768"/>
      <w:bookmarkEnd w:id="769"/>
      <w:r>
        <w:rPr>
          <w:rFonts w:hint="eastAsia" w:ascii="宋体" w:hAnsi="宋体" w:eastAsia="宋体" w:cs="宋体"/>
          <w:sz w:val="21"/>
          <w:szCs w:val="21"/>
        </w:rPr>
        <w:t>项目概况</w:t>
      </w:r>
      <w:bookmarkEnd w:id="770"/>
      <w:bookmarkEnd w:id="771"/>
      <w:bookmarkEnd w:id="772"/>
      <w:bookmarkEnd w:id="773"/>
    </w:p>
    <w:p w14:paraId="2286AC99">
      <w:pPr>
        <w:spacing w:line="420" w:lineRule="exact"/>
        <w:ind w:firstLine="420" w:firstLineChars="200"/>
        <w:rPr>
          <w:rFonts w:hint="eastAsia" w:ascii="宋体" w:hAnsi="宋体" w:eastAsia="宋体" w:cs="宋体"/>
          <w:szCs w:val="21"/>
          <w:lang w:eastAsia="zh-CN"/>
        </w:rPr>
      </w:pPr>
      <w:r>
        <w:rPr>
          <w:rFonts w:hint="eastAsia" w:ascii="宋体" w:hAnsi="宋体" w:cs="宋体"/>
          <w:szCs w:val="21"/>
        </w:rPr>
        <w:t>项目名称：</w:t>
      </w:r>
      <w:r>
        <w:rPr>
          <w:rFonts w:hint="eastAsia" w:ascii="宋体" w:hAnsi="宋体" w:cs="宋体"/>
          <w:szCs w:val="21"/>
          <w:lang w:eastAsia="zh-CN"/>
        </w:rPr>
        <w:t>重庆理工职业学院实训机房改建项目</w:t>
      </w:r>
    </w:p>
    <w:p w14:paraId="1534FD2E">
      <w:pPr>
        <w:widowControl/>
        <w:shd w:val="clear" w:color="auto" w:fill="FFFFFF"/>
        <w:spacing w:line="440" w:lineRule="atLeast"/>
        <w:ind w:firstLine="420"/>
        <w:jc w:val="left"/>
        <w:rPr>
          <w:rFonts w:hint="eastAsia" w:ascii="宋体" w:hAnsi="宋体" w:eastAsia="宋体" w:cs="宋体"/>
          <w:szCs w:val="21"/>
          <w:lang w:eastAsia="zh-CN"/>
        </w:rPr>
      </w:pPr>
      <w:r>
        <w:rPr>
          <w:rFonts w:hint="eastAsia" w:ascii="宋体" w:hAnsi="宋体" w:cs="宋体"/>
          <w:szCs w:val="21"/>
        </w:rPr>
        <w:t>项目内容</w:t>
      </w:r>
      <w:r>
        <w:rPr>
          <w:rFonts w:hint="eastAsia" w:ascii="宋体" w:hAnsi="宋体" w:cs="宋体"/>
          <w:szCs w:val="21"/>
          <w:lang w:eastAsia="zh-CN"/>
        </w:rPr>
        <w:t>：</w:t>
      </w:r>
    </w:p>
    <w:p w14:paraId="375AC509">
      <w:pPr>
        <w:spacing w:line="420" w:lineRule="exact"/>
        <w:ind w:firstLine="420" w:firstLineChars="200"/>
        <w:rPr>
          <w:rFonts w:hint="eastAsia" w:ascii="宋体" w:hAnsi="宋体" w:cs="宋体"/>
          <w:szCs w:val="21"/>
          <w:lang w:val="en-US" w:eastAsia="zh-CN"/>
        </w:rPr>
      </w:pPr>
      <w:r>
        <w:rPr>
          <w:rFonts w:hint="eastAsia" w:ascii="宋体" w:hAnsi="宋体" w:cs="宋体"/>
          <w:szCs w:val="21"/>
          <w:lang w:val="en-US" w:eastAsia="zh-CN"/>
        </w:rPr>
        <w:t>1.大数据学院数字媒体技术专业2503实训室改建</w:t>
      </w:r>
    </w:p>
    <w:p w14:paraId="1424DFD0">
      <w:pPr>
        <w:spacing w:line="420" w:lineRule="exact"/>
        <w:ind w:firstLine="420" w:firstLineChars="200"/>
        <w:rPr>
          <w:rFonts w:hint="eastAsia" w:ascii="宋体" w:hAnsi="宋体" w:cs="宋体"/>
          <w:szCs w:val="21"/>
          <w:lang w:val="en-US" w:eastAsia="zh-CN"/>
        </w:rPr>
      </w:pPr>
      <w:r>
        <w:rPr>
          <w:rFonts w:hint="eastAsia" w:ascii="宋体" w:hAnsi="宋体" w:cs="宋体"/>
          <w:szCs w:val="21"/>
          <w:lang w:val="en-US" w:eastAsia="zh-CN"/>
        </w:rPr>
        <w:t>（1）将2503扩建为能够满足60人同时进行数字媒体技术基础相关课程实训和教学的实训室，配备台式电脑、教学管理软件、电子白板、电脑桌椅、交换机等，详见设备清单。</w:t>
      </w:r>
    </w:p>
    <w:p w14:paraId="58C79B34">
      <w:pPr>
        <w:spacing w:line="420" w:lineRule="exact"/>
        <w:ind w:firstLine="420" w:firstLineChars="200"/>
        <w:rPr>
          <w:rFonts w:hint="default" w:ascii="宋体" w:hAnsi="宋体" w:cs="宋体"/>
          <w:szCs w:val="21"/>
          <w:lang w:val="en-US" w:eastAsia="zh-CN"/>
        </w:rPr>
      </w:pPr>
      <w:r>
        <w:rPr>
          <w:rFonts w:hint="eastAsia" w:ascii="宋体" w:hAnsi="宋体" w:cs="宋体"/>
          <w:szCs w:val="21"/>
          <w:lang w:val="en-US" w:eastAsia="zh-CN"/>
        </w:rPr>
        <w:t>（2）装修要求：墙体改造及墙面处理、安装静电地板、综合布线以及设备安装调试等。</w:t>
      </w:r>
    </w:p>
    <w:p w14:paraId="3723FC2F">
      <w:pPr>
        <w:spacing w:line="420" w:lineRule="exact"/>
        <w:ind w:firstLine="420" w:firstLineChars="200"/>
        <w:rPr>
          <w:rFonts w:hint="eastAsia" w:ascii="宋体" w:hAnsi="宋体" w:cs="宋体"/>
          <w:szCs w:val="21"/>
          <w:lang w:val="en-US" w:eastAsia="zh-CN"/>
        </w:rPr>
      </w:pPr>
      <w:r>
        <w:rPr>
          <w:rFonts w:hint="eastAsia" w:ascii="宋体" w:hAnsi="宋体" w:cs="宋体"/>
          <w:szCs w:val="21"/>
          <w:lang w:val="en-US" w:eastAsia="zh-CN"/>
        </w:rPr>
        <w:t>2.大数据学院1501与3507实训室改建</w:t>
      </w:r>
    </w:p>
    <w:p w14:paraId="29B29D41">
      <w:pPr>
        <w:spacing w:line="420" w:lineRule="exact"/>
        <w:ind w:firstLine="420" w:firstLineChars="200"/>
        <w:rPr>
          <w:rFonts w:hint="eastAsia" w:ascii="宋体" w:hAnsi="宋体" w:cs="宋体"/>
          <w:szCs w:val="21"/>
          <w:lang w:val="en-US" w:eastAsia="zh-CN"/>
        </w:rPr>
      </w:pPr>
      <w:r>
        <w:rPr>
          <w:rFonts w:hint="eastAsia" w:ascii="宋体" w:hAnsi="宋体" w:cs="宋体"/>
          <w:szCs w:val="21"/>
          <w:lang w:val="en-US" w:eastAsia="zh-CN"/>
        </w:rPr>
        <w:t>（1）将1501与3507机房改造成分别容纳60人学生实训的场地，满足大数据学院大数据技术、人工智能应用技术、移动互联应用技术等专业学生的实训需求，配备台式电脑、教学管理软件、电子白板、电脑桌椅、交换机等，详见设备清单。</w:t>
      </w:r>
    </w:p>
    <w:p w14:paraId="45AD1C85">
      <w:pPr>
        <w:spacing w:line="420" w:lineRule="exact"/>
        <w:ind w:firstLine="420" w:firstLineChars="200"/>
        <w:rPr>
          <w:rFonts w:hint="eastAsia" w:ascii="宋体" w:hAnsi="宋体" w:cs="宋体"/>
          <w:szCs w:val="21"/>
          <w:lang w:val="en-US" w:eastAsia="zh-CN"/>
        </w:rPr>
      </w:pPr>
      <w:r>
        <w:rPr>
          <w:rFonts w:hint="eastAsia" w:ascii="宋体" w:hAnsi="宋体" w:cs="宋体"/>
          <w:szCs w:val="21"/>
          <w:lang w:val="en-US" w:eastAsia="zh-CN"/>
        </w:rPr>
        <w:t>（2）装修要求：墙面处理、安装静电地板、综合布线以及设备安装调试等。</w:t>
      </w:r>
    </w:p>
    <w:p w14:paraId="283FA006">
      <w:pPr>
        <w:spacing w:line="420" w:lineRule="exact"/>
        <w:ind w:firstLine="420" w:firstLineChars="200"/>
        <w:rPr>
          <w:rFonts w:hint="eastAsia" w:ascii="宋体" w:hAnsi="宋体" w:cs="宋体"/>
          <w:szCs w:val="21"/>
          <w:lang w:val="en-US" w:eastAsia="zh-CN"/>
        </w:rPr>
      </w:pPr>
      <w:r>
        <w:rPr>
          <w:rFonts w:hint="eastAsia" w:ascii="宋体" w:hAnsi="宋体" w:cs="宋体"/>
          <w:szCs w:val="21"/>
          <w:lang w:val="en-US" w:eastAsia="zh-CN"/>
        </w:rPr>
        <w:t>3.智能工程学院机房实训室建设</w:t>
      </w:r>
    </w:p>
    <w:p w14:paraId="5955DCFB">
      <w:pPr>
        <w:spacing w:line="420" w:lineRule="exact"/>
        <w:ind w:firstLine="420" w:firstLineChars="200"/>
        <w:rPr>
          <w:rFonts w:hint="eastAsia" w:ascii="宋体" w:hAnsi="宋体" w:cs="宋体"/>
          <w:szCs w:val="21"/>
          <w:lang w:val="en-US" w:eastAsia="zh-CN"/>
        </w:rPr>
      </w:pPr>
      <w:r>
        <w:rPr>
          <w:rFonts w:hint="eastAsia" w:ascii="宋体" w:hAnsi="宋体" w:cs="宋体"/>
          <w:szCs w:val="21"/>
          <w:lang w:val="en-US" w:eastAsia="zh-CN"/>
        </w:rPr>
        <w:t>（1）建设专业机房实训室建设以满足数字化设计、工业视觉及相关课程对计算性能和图形处理能力的要求，配备台式电脑、教学管理软件、电脑桌椅、交换机等，详见设备清单。</w:t>
      </w:r>
    </w:p>
    <w:p w14:paraId="2A8EF1D5">
      <w:pPr>
        <w:spacing w:line="420" w:lineRule="exact"/>
        <w:ind w:firstLine="420" w:firstLineChars="200"/>
        <w:rPr>
          <w:rFonts w:hint="eastAsia" w:ascii="宋体" w:hAnsi="宋体" w:cs="宋体"/>
          <w:szCs w:val="21"/>
          <w:lang w:val="en-US" w:eastAsia="zh-CN"/>
        </w:rPr>
      </w:pPr>
      <w:r>
        <w:rPr>
          <w:rFonts w:hint="eastAsia" w:ascii="宋体" w:hAnsi="宋体" w:cs="宋体"/>
          <w:szCs w:val="21"/>
          <w:lang w:val="en-US" w:eastAsia="zh-CN"/>
        </w:rPr>
        <w:t>（2）装修要求：安装静电地板、空调及配电、综合布线以及设备安装调试、实训室文化建设等。</w:t>
      </w:r>
    </w:p>
    <w:p w14:paraId="79EB7F54">
      <w:pPr>
        <w:spacing w:line="420" w:lineRule="exact"/>
        <w:ind w:firstLine="420" w:firstLineChars="200"/>
        <w:rPr>
          <w:rFonts w:hint="eastAsia" w:ascii="宋体" w:hAnsi="宋体" w:cs="宋体"/>
          <w:szCs w:val="21"/>
          <w:lang w:val="en-US" w:eastAsia="zh-CN"/>
        </w:rPr>
      </w:pPr>
      <w:r>
        <w:rPr>
          <w:rFonts w:hint="eastAsia" w:ascii="宋体" w:hAnsi="宋体" w:cs="宋体"/>
          <w:szCs w:val="21"/>
          <w:lang w:val="en-US" w:eastAsia="zh-CN"/>
        </w:rPr>
        <w:t>4.按比选人要求完成配送、安装、调试、装饰装修以及售后服务。</w:t>
      </w:r>
    </w:p>
    <w:p w14:paraId="0746D5F4">
      <w:pPr>
        <w:kinsoku/>
        <w:wordWrap w:val="0"/>
        <w:overflowPunct/>
        <w:topLinePunct w:val="0"/>
        <w:autoSpaceDE/>
        <w:autoSpaceDN/>
        <w:bidi w:val="0"/>
        <w:snapToGrid w:val="0"/>
        <w:spacing w:line="500" w:lineRule="exact"/>
        <w:ind w:left="0" w:leftChars="0" w:firstLine="0" w:firstLineChars="0"/>
        <w:jc w:val="center"/>
        <w:rPr>
          <w:rFonts w:hint="eastAsia" w:ascii="仿宋" w:hAnsi="仿宋" w:eastAsia="仿宋" w:cs="仿宋"/>
          <w:b/>
          <w:bCs/>
          <w:color w:val="auto"/>
          <w:sz w:val="44"/>
          <w:highlight w:val="none"/>
        </w:rPr>
      </w:pPr>
    </w:p>
    <w:p w14:paraId="44829508">
      <w:pPr>
        <w:kinsoku/>
        <w:wordWrap w:val="0"/>
        <w:overflowPunct/>
        <w:topLinePunct w:val="0"/>
        <w:autoSpaceDE/>
        <w:autoSpaceDN/>
        <w:bidi w:val="0"/>
        <w:snapToGrid w:val="0"/>
        <w:spacing w:line="500" w:lineRule="exact"/>
        <w:ind w:left="0" w:leftChars="0" w:firstLine="0" w:firstLineChars="0"/>
        <w:jc w:val="center"/>
        <w:rPr>
          <w:rFonts w:hint="eastAsia" w:ascii="仿宋" w:hAnsi="仿宋" w:eastAsia="仿宋" w:cs="仿宋"/>
          <w:b/>
          <w:bCs/>
          <w:color w:val="auto"/>
          <w:sz w:val="44"/>
          <w:highlight w:val="none"/>
        </w:rPr>
        <w:sectPr>
          <w:headerReference r:id="rId7" w:type="first"/>
          <w:footerReference r:id="rId10" w:type="first"/>
          <w:headerReference r:id="rId5" w:type="default"/>
          <w:footerReference r:id="rId8" w:type="default"/>
          <w:headerReference r:id="rId6" w:type="even"/>
          <w:footerReference r:id="rId9" w:type="even"/>
          <w:pgSz w:w="11907" w:h="16840"/>
          <w:pgMar w:top="1134" w:right="1134" w:bottom="1134" w:left="1134" w:header="964" w:footer="992" w:gutter="0"/>
          <w:pgNumType w:fmt="decimal" w:start="1"/>
          <w:cols w:space="720" w:num="1"/>
          <w:titlePg/>
          <w:docGrid w:linePitch="312" w:charSpace="0"/>
        </w:sectPr>
      </w:pPr>
    </w:p>
    <w:p w14:paraId="58C4998C">
      <w:pPr>
        <w:spacing w:line="420" w:lineRule="exact"/>
        <w:rPr>
          <w:rFonts w:hint="eastAsia" w:ascii="宋体" w:hAnsi="宋体" w:cs="宋体"/>
          <w:szCs w:val="21"/>
          <w:lang w:val="en-US" w:eastAsia="zh-CN"/>
        </w:rPr>
      </w:pPr>
    </w:p>
    <w:bookmarkEnd w:id="774"/>
    <w:bookmarkEnd w:id="775"/>
    <w:bookmarkEnd w:id="776"/>
    <w:p w14:paraId="1F06E9F5">
      <w:pPr>
        <w:pStyle w:val="3"/>
        <w:spacing w:before="0" w:after="0" w:line="420" w:lineRule="exact"/>
        <w:rPr>
          <w:rFonts w:hint="eastAsia" w:ascii="宋体" w:hAnsi="宋体" w:eastAsia="宋体" w:cs="宋体"/>
          <w:sz w:val="21"/>
          <w:szCs w:val="21"/>
        </w:rPr>
      </w:pPr>
      <w:bookmarkStart w:id="777" w:name="_Toc25281"/>
      <w:bookmarkStart w:id="778" w:name="_Toc146489876"/>
      <w:bookmarkStart w:id="779" w:name="_Toc148061407"/>
      <w:bookmarkStart w:id="780" w:name="_Toc27130"/>
      <w:bookmarkStart w:id="781" w:name="_Toc27984"/>
      <w:bookmarkStart w:id="782" w:name="_Toc7779"/>
      <w:r>
        <w:rPr>
          <w:rFonts w:hint="eastAsia" w:ascii="宋体" w:hAnsi="宋体" w:eastAsia="宋体" w:cs="宋体"/>
          <w:sz w:val="21"/>
          <w:szCs w:val="21"/>
        </w:rPr>
        <w:t>二、</w:t>
      </w:r>
      <w:bookmarkEnd w:id="777"/>
      <w:bookmarkEnd w:id="778"/>
      <w:bookmarkEnd w:id="779"/>
      <w:bookmarkEnd w:id="780"/>
      <w:bookmarkEnd w:id="781"/>
      <w:r>
        <w:rPr>
          <w:rFonts w:hint="eastAsia" w:ascii="宋体" w:hAnsi="宋体" w:eastAsia="宋体" w:cs="宋体"/>
          <w:sz w:val="21"/>
          <w:szCs w:val="21"/>
        </w:rPr>
        <w:t>技术需求</w:t>
      </w:r>
      <w:bookmarkEnd w:id="782"/>
      <w:r>
        <w:rPr>
          <w:rFonts w:hint="eastAsia" w:ascii="宋体" w:hAnsi="宋体" w:eastAsia="宋体" w:cs="宋体"/>
          <w:sz w:val="21"/>
          <w:szCs w:val="21"/>
        </w:rPr>
        <w:t>（</w:t>
      </w:r>
      <w:r>
        <w:rPr>
          <w:rFonts w:hint="eastAsia" w:ascii="黑体" w:hAnsi="黑体" w:eastAsia="黑体" w:cs="黑体"/>
          <w:sz w:val="32"/>
          <w:szCs w:val="32"/>
          <w:u w:val="single"/>
        </w:rPr>
        <w:t>等于或优于以下配置参数的设备产品均作为有效响应</w:t>
      </w:r>
      <w:r>
        <w:rPr>
          <w:rFonts w:hint="eastAsia" w:ascii="宋体" w:hAnsi="宋体" w:eastAsia="宋体" w:cs="宋体"/>
          <w:sz w:val="21"/>
          <w:szCs w:val="21"/>
        </w:rPr>
        <w:t>）</w:t>
      </w:r>
    </w:p>
    <w:bookmarkEnd w:id="766"/>
    <w:tbl>
      <w:tblPr>
        <w:tblStyle w:val="75"/>
        <w:tblW w:w="14542" w:type="dxa"/>
        <w:jc w:val="center"/>
        <w:tblLayout w:type="fixed"/>
        <w:tblCellMar>
          <w:top w:w="0" w:type="dxa"/>
          <w:left w:w="108" w:type="dxa"/>
          <w:bottom w:w="0" w:type="dxa"/>
          <w:right w:w="108" w:type="dxa"/>
        </w:tblCellMar>
      </w:tblPr>
      <w:tblGrid>
        <w:gridCol w:w="815"/>
        <w:gridCol w:w="2207"/>
        <w:gridCol w:w="7705"/>
        <w:gridCol w:w="888"/>
        <w:gridCol w:w="984"/>
        <w:gridCol w:w="1943"/>
      </w:tblGrid>
      <w:tr w14:paraId="799CE7A3">
        <w:tblPrEx>
          <w:tblCellMar>
            <w:top w:w="0" w:type="dxa"/>
            <w:left w:w="108" w:type="dxa"/>
            <w:bottom w:w="0" w:type="dxa"/>
            <w:right w:w="108" w:type="dxa"/>
          </w:tblCellMar>
        </w:tblPrEx>
        <w:trPr>
          <w:trHeight w:val="493" w:hRule="atLeast"/>
          <w:jc w:val="center"/>
        </w:trPr>
        <w:tc>
          <w:tcPr>
            <w:tcW w:w="14542" w:type="dxa"/>
            <w:gridSpan w:val="6"/>
            <w:tcBorders>
              <w:top w:val="single" w:color="000000" w:sz="4" w:space="0"/>
              <w:left w:val="single" w:color="000000" w:sz="4" w:space="0"/>
              <w:bottom w:val="single" w:color="000000" w:sz="4" w:space="0"/>
              <w:right w:val="single" w:color="000000" w:sz="4" w:space="0"/>
            </w:tcBorders>
            <w:noWrap/>
            <w:vAlign w:val="center"/>
          </w:tcPr>
          <w:p w14:paraId="30E3F14B">
            <w:pPr>
              <w:jc w:val="center"/>
              <w:textAlignment w:val="center"/>
              <w:rPr>
                <w:rFonts w:hint="eastAsia" w:ascii="宋体" w:hAnsi="宋体" w:eastAsia="宋体" w:cs="宋体"/>
                <w:b/>
                <w:bCs/>
                <w:color w:val="auto"/>
                <w:sz w:val="21"/>
                <w:szCs w:val="21"/>
                <w:highlight w:val="none"/>
                <w:lang w:val="en-US" w:eastAsia="zh-CN" w:bidi="ar"/>
              </w:rPr>
            </w:pPr>
            <w:bookmarkStart w:id="783" w:name="_Toc127516430"/>
            <w:r>
              <w:rPr>
                <w:rFonts w:hint="eastAsia" w:ascii="宋体" w:hAnsi="宋体" w:eastAsia="宋体" w:cs="宋体"/>
                <w:b/>
                <w:bCs/>
                <w:color w:val="auto"/>
                <w:sz w:val="21"/>
                <w:szCs w:val="21"/>
                <w:highlight w:val="none"/>
                <w:lang w:val="en-US" w:eastAsia="zh-CN" w:bidi="ar"/>
              </w:rPr>
              <w:t>一、大数据学院数字媒体技术专业2503实训室改建</w:t>
            </w:r>
          </w:p>
        </w:tc>
      </w:tr>
      <w:tr w14:paraId="7C15951F">
        <w:tblPrEx>
          <w:tblCellMar>
            <w:top w:w="0" w:type="dxa"/>
            <w:left w:w="108" w:type="dxa"/>
            <w:bottom w:w="0" w:type="dxa"/>
            <w:right w:w="108" w:type="dxa"/>
          </w:tblCellMar>
        </w:tblPrEx>
        <w:trPr>
          <w:trHeight w:val="463" w:hRule="atLeast"/>
          <w:jc w:val="center"/>
        </w:trPr>
        <w:tc>
          <w:tcPr>
            <w:tcW w:w="815" w:type="dxa"/>
            <w:tcBorders>
              <w:top w:val="single" w:color="000000" w:sz="4" w:space="0"/>
              <w:left w:val="single" w:color="000000" w:sz="4" w:space="0"/>
              <w:bottom w:val="single" w:color="000000" w:sz="4" w:space="0"/>
              <w:right w:val="single" w:color="000000" w:sz="4" w:space="0"/>
            </w:tcBorders>
            <w:noWrap/>
            <w:vAlign w:val="center"/>
          </w:tcPr>
          <w:p w14:paraId="34B05297">
            <w:pPr>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bidi="ar"/>
              </w:rPr>
              <w:t>序号</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23F6F94D">
            <w:pPr>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bidi="ar"/>
              </w:rPr>
              <w:t>产品名称</w:t>
            </w:r>
          </w:p>
        </w:tc>
        <w:tc>
          <w:tcPr>
            <w:tcW w:w="7705" w:type="dxa"/>
            <w:tcBorders>
              <w:top w:val="single" w:color="000000" w:sz="4" w:space="0"/>
              <w:left w:val="single" w:color="000000" w:sz="4" w:space="0"/>
              <w:bottom w:val="single" w:color="000000" w:sz="4" w:space="0"/>
              <w:right w:val="single" w:color="000000" w:sz="4" w:space="0"/>
            </w:tcBorders>
            <w:noWrap w:val="0"/>
            <w:vAlign w:val="center"/>
          </w:tcPr>
          <w:p w14:paraId="33C956DC">
            <w:pPr>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bidi="ar"/>
              </w:rPr>
              <w:t>参数</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43B3107F">
            <w:pPr>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bidi="ar"/>
              </w:rPr>
              <w:t>数量</w:t>
            </w:r>
          </w:p>
        </w:tc>
        <w:tc>
          <w:tcPr>
            <w:tcW w:w="984" w:type="dxa"/>
            <w:tcBorders>
              <w:top w:val="single" w:color="000000" w:sz="4" w:space="0"/>
              <w:left w:val="single" w:color="000000" w:sz="4" w:space="0"/>
              <w:bottom w:val="single" w:color="000000" w:sz="4" w:space="0"/>
              <w:right w:val="single" w:color="000000" w:sz="4" w:space="0"/>
            </w:tcBorders>
            <w:noWrap/>
            <w:vAlign w:val="center"/>
          </w:tcPr>
          <w:p w14:paraId="65B35556">
            <w:pPr>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bidi="ar"/>
              </w:rPr>
              <w:t>单位</w:t>
            </w:r>
          </w:p>
        </w:tc>
        <w:tc>
          <w:tcPr>
            <w:tcW w:w="1943" w:type="dxa"/>
            <w:tcBorders>
              <w:top w:val="single" w:color="000000" w:sz="4" w:space="0"/>
              <w:left w:val="single" w:color="000000" w:sz="4" w:space="0"/>
              <w:bottom w:val="single" w:color="000000" w:sz="4" w:space="0"/>
              <w:right w:val="single" w:color="000000" w:sz="4" w:space="0"/>
            </w:tcBorders>
            <w:noWrap w:val="0"/>
            <w:vAlign w:val="center"/>
          </w:tcPr>
          <w:p w14:paraId="10F66CE1">
            <w:pPr>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bidi="ar"/>
              </w:rPr>
              <w:t>备注</w:t>
            </w:r>
          </w:p>
        </w:tc>
      </w:tr>
      <w:tr w14:paraId="480BD0CB">
        <w:tblPrEx>
          <w:tblCellMar>
            <w:top w:w="0" w:type="dxa"/>
            <w:left w:w="108" w:type="dxa"/>
            <w:bottom w:w="0" w:type="dxa"/>
            <w:right w:w="108" w:type="dxa"/>
          </w:tblCellMar>
        </w:tblPrEx>
        <w:trPr>
          <w:trHeight w:val="458" w:hRule="atLeast"/>
          <w:jc w:val="center"/>
        </w:trPr>
        <w:tc>
          <w:tcPr>
            <w:tcW w:w="14542" w:type="dxa"/>
            <w:gridSpan w:val="6"/>
            <w:tcBorders>
              <w:top w:val="single" w:color="000000" w:sz="4" w:space="0"/>
              <w:left w:val="single" w:color="000000" w:sz="4" w:space="0"/>
              <w:bottom w:val="single" w:color="000000" w:sz="4" w:space="0"/>
              <w:right w:val="single" w:color="000000" w:sz="4" w:space="0"/>
            </w:tcBorders>
            <w:noWrap/>
            <w:vAlign w:val="center"/>
          </w:tcPr>
          <w:p w14:paraId="542FB8E9">
            <w:pPr>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bidi="ar"/>
              </w:rPr>
              <w:t>（</w:t>
            </w:r>
            <w:r>
              <w:rPr>
                <w:rFonts w:hint="eastAsia" w:ascii="宋体" w:hAnsi="宋体" w:eastAsia="宋体" w:cs="宋体"/>
                <w:b/>
                <w:bCs/>
                <w:color w:val="auto"/>
                <w:sz w:val="21"/>
                <w:szCs w:val="21"/>
                <w:highlight w:val="none"/>
                <w:lang w:val="en-US" w:eastAsia="zh-CN" w:bidi="ar"/>
              </w:rPr>
              <w:t>一</w:t>
            </w:r>
            <w:r>
              <w:rPr>
                <w:rFonts w:hint="eastAsia" w:ascii="宋体" w:hAnsi="宋体" w:eastAsia="宋体" w:cs="宋体"/>
                <w:b/>
                <w:bCs/>
                <w:color w:val="auto"/>
                <w:sz w:val="21"/>
                <w:szCs w:val="21"/>
                <w:highlight w:val="none"/>
                <w:lang w:eastAsia="zh-CN" w:bidi="ar"/>
              </w:rPr>
              <w:t>）</w:t>
            </w:r>
            <w:r>
              <w:rPr>
                <w:rFonts w:hint="eastAsia" w:ascii="宋体" w:hAnsi="宋体" w:eastAsia="宋体" w:cs="宋体"/>
                <w:b/>
                <w:bCs/>
                <w:color w:val="auto"/>
                <w:sz w:val="21"/>
                <w:szCs w:val="21"/>
                <w:highlight w:val="none"/>
                <w:lang w:bidi="ar"/>
              </w:rPr>
              <w:t>专业资源制作实训室设备清单</w:t>
            </w:r>
          </w:p>
        </w:tc>
      </w:tr>
      <w:tr w14:paraId="27A86952">
        <w:tblPrEx>
          <w:tblCellMar>
            <w:top w:w="0" w:type="dxa"/>
            <w:left w:w="108" w:type="dxa"/>
            <w:bottom w:w="0" w:type="dxa"/>
            <w:right w:w="108" w:type="dxa"/>
          </w:tblCellMar>
        </w:tblPrEx>
        <w:trPr>
          <w:trHeight w:val="499" w:hRule="atLeast"/>
          <w:jc w:val="center"/>
        </w:trPr>
        <w:tc>
          <w:tcPr>
            <w:tcW w:w="815" w:type="dxa"/>
            <w:tcBorders>
              <w:top w:val="single" w:color="000000" w:sz="4" w:space="0"/>
              <w:left w:val="single" w:color="000000" w:sz="4" w:space="0"/>
              <w:bottom w:val="single" w:color="000000" w:sz="4" w:space="0"/>
              <w:right w:val="single" w:color="000000" w:sz="4" w:space="0"/>
            </w:tcBorders>
            <w:noWrap/>
            <w:vAlign w:val="center"/>
          </w:tcPr>
          <w:p w14:paraId="133EC14D">
            <w:pPr>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1</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4B2C5A89">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台式电脑</w:t>
            </w:r>
          </w:p>
        </w:tc>
        <w:tc>
          <w:tcPr>
            <w:tcW w:w="7705" w:type="dxa"/>
            <w:tcBorders>
              <w:top w:val="single" w:color="000000" w:sz="4" w:space="0"/>
              <w:left w:val="single" w:color="000000" w:sz="4" w:space="0"/>
              <w:bottom w:val="single" w:color="000000" w:sz="4" w:space="0"/>
              <w:right w:val="single" w:color="000000" w:sz="4" w:space="0"/>
            </w:tcBorders>
            <w:noWrap w:val="0"/>
            <w:vAlign w:val="center"/>
          </w:tcPr>
          <w:p w14:paraId="167B5E3A">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1、</w:t>
            </w:r>
            <w:r>
              <w:rPr>
                <w:rFonts w:hint="eastAsia" w:ascii="宋体" w:hAnsi="宋体" w:eastAsia="宋体" w:cs="宋体"/>
                <w:color w:val="auto"/>
                <w:sz w:val="18"/>
                <w:szCs w:val="18"/>
                <w:highlight w:val="none"/>
                <w:lang w:val="en-US" w:eastAsia="zh-CN"/>
              </w:rPr>
              <w:t>CPU Intel 酷睿i5十二代或以上，主频≥2.5GHz或以上，六核十二线程，三级缓存≥18MB；</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2、主板 ≥Intel B660M芯片组， MATX 主板，插槽2*PCI-E 1X，1*PCI-E 16X ，2*M.2， 1*COM插针；</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3、内存 ≥32GB DDR4 3200，内存插槽数≥2，最大支持64GB；</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4、硬盘 ≥512G SSD NVME；</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 xml:space="preserve">5、显卡 ≥RTX4060 独立显卡 </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6、网卡：板载千兆网卡；</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7、声卡：集成</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8、IO接口 前置：USB3.0接口≥2，USB2.0接口≥2，麦克风接口≥1，耳机接口≥1</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9、后置：USB3.2接口≥4，USB2.0接口≥2， PS/2接口≥1，RJ45网络接口≥1，音频接口≥1组， HDMI接口≥1，VGA接口≥1；</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10、电源 ≥500W多路电源  输出插头≥4；</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11、机箱：立式机箱≥24L，机箱上部有提手，免工具开启机箱面板，前置I/O，前置电源开关和重启键，机箱后部预留有机箱安全锁位孔。机箱前面板预留标准光驱位和软驱位，便于后续扩展。</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12、键盘鼠标：光电鼠标键盘，通过抗菌测试。</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13、显示器</w:t>
            </w:r>
            <w:r>
              <w:rPr>
                <w:rFonts w:hint="eastAsia" w:ascii="宋体" w:hAnsi="宋体" w:eastAsia="宋体" w:cs="宋体"/>
                <w:b w:val="0"/>
                <w:bCs w:val="0"/>
                <w:color w:val="auto"/>
                <w:sz w:val="18"/>
                <w:szCs w:val="18"/>
                <w:highlight w:val="none"/>
                <w:lang w:val="en-US" w:eastAsia="zh-CN"/>
              </w:rPr>
              <w:t xml:space="preserve"> ≥23英寸LE</w:t>
            </w:r>
            <w:r>
              <w:rPr>
                <w:rFonts w:hint="eastAsia" w:ascii="宋体" w:hAnsi="宋体" w:eastAsia="宋体" w:cs="宋体"/>
                <w:color w:val="auto"/>
                <w:sz w:val="18"/>
                <w:szCs w:val="18"/>
                <w:highlight w:val="none"/>
                <w:lang w:val="en-US" w:eastAsia="zh-CN"/>
              </w:rPr>
              <w:t>D显示器，分辨率≥2560 x 1440，响应时间5ms，具备VGA+HDMI视频接口，支持壁挂；</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14、操作系统 预装WIN10 Pro 或优于WIN10 Pro操作系统</w:t>
            </w:r>
          </w:p>
          <w:p w14:paraId="7258E965">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15、保修：整机提供两年质保及免费上门服务。</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06E2755A">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39</w:t>
            </w:r>
          </w:p>
        </w:tc>
        <w:tc>
          <w:tcPr>
            <w:tcW w:w="984" w:type="dxa"/>
            <w:tcBorders>
              <w:top w:val="single" w:color="000000" w:sz="4" w:space="0"/>
              <w:left w:val="single" w:color="000000" w:sz="4" w:space="0"/>
              <w:bottom w:val="single" w:color="000000" w:sz="4" w:space="0"/>
              <w:right w:val="single" w:color="000000" w:sz="4" w:space="0"/>
            </w:tcBorders>
            <w:noWrap/>
            <w:vAlign w:val="center"/>
          </w:tcPr>
          <w:p w14:paraId="506B762C">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台</w:t>
            </w:r>
          </w:p>
        </w:tc>
        <w:tc>
          <w:tcPr>
            <w:tcW w:w="1943" w:type="dxa"/>
            <w:tcBorders>
              <w:top w:val="single" w:color="000000" w:sz="4" w:space="0"/>
              <w:left w:val="single" w:color="000000" w:sz="4" w:space="0"/>
              <w:bottom w:val="single" w:color="000000" w:sz="4" w:space="0"/>
              <w:right w:val="single" w:color="000000" w:sz="4" w:space="0"/>
            </w:tcBorders>
            <w:noWrap w:val="0"/>
            <w:vAlign w:val="center"/>
          </w:tcPr>
          <w:p w14:paraId="2C19AE8E">
            <w:pPr>
              <w:rPr>
                <w:rFonts w:hint="eastAsia" w:ascii="宋体" w:hAnsi="宋体" w:eastAsia="宋体" w:cs="宋体"/>
                <w:color w:val="auto"/>
                <w:sz w:val="18"/>
                <w:szCs w:val="18"/>
                <w:highlight w:val="none"/>
              </w:rPr>
            </w:pPr>
          </w:p>
        </w:tc>
      </w:tr>
      <w:tr w14:paraId="29D9FE6D">
        <w:tblPrEx>
          <w:tblCellMar>
            <w:top w:w="0" w:type="dxa"/>
            <w:left w:w="108" w:type="dxa"/>
            <w:bottom w:w="0" w:type="dxa"/>
            <w:right w:w="108" w:type="dxa"/>
          </w:tblCellMar>
        </w:tblPrEx>
        <w:trPr>
          <w:trHeight w:val="273" w:hRule="atLeast"/>
          <w:jc w:val="center"/>
        </w:trPr>
        <w:tc>
          <w:tcPr>
            <w:tcW w:w="815" w:type="dxa"/>
            <w:tcBorders>
              <w:top w:val="single" w:color="000000" w:sz="4" w:space="0"/>
              <w:left w:val="single" w:color="000000" w:sz="4" w:space="0"/>
              <w:bottom w:val="single" w:color="000000" w:sz="4" w:space="0"/>
              <w:right w:val="single" w:color="000000" w:sz="4" w:space="0"/>
            </w:tcBorders>
            <w:noWrap/>
            <w:vAlign w:val="center"/>
          </w:tcPr>
          <w:p w14:paraId="5AACC260">
            <w:pPr>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43477AAB">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正版同传还原软件</w:t>
            </w:r>
          </w:p>
        </w:tc>
        <w:tc>
          <w:tcPr>
            <w:tcW w:w="7705" w:type="dxa"/>
            <w:tcBorders>
              <w:top w:val="single" w:color="000000" w:sz="4" w:space="0"/>
              <w:left w:val="single" w:color="000000" w:sz="4" w:space="0"/>
              <w:bottom w:val="single" w:color="000000" w:sz="4" w:space="0"/>
              <w:right w:val="single" w:color="000000" w:sz="4" w:space="0"/>
            </w:tcBorders>
            <w:noWrap w:val="0"/>
            <w:vAlign w:val="center"/>
          </w:tcPr>
          <w:p w14:paraId="5A6BB0AF">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网络同传 出厂预装硬盘版网络同传软件。</w:t>
            </w:r>
          </w:p>
          <w:p w14:paraId="3A7917A7">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1、</w:t>
            </w:r>
            <w:r>
              <w:rPr>
                <w:rFonts w:hint="eastAsia" w:ascii="宋体" w:hAnsi="宋体" w:eastAsia="宋体" w:cs="宋体"/>
                <w:color w:val="auto"/>
                <w:sz w:val="18"/>
                <w:szCs w:val="18"/>
                <w:highlight w:val="none"/>
                <w:lang w:val="en-US" w:eastAsia="zh-CN"/>
              </w:rPr>
              <w:t>保护/恢复数据：可对单分区、多分区经行快速保护和快速恢复数据。并且隐藏启动界面，隐藏操作员界面，隐藏恢复进度条。</w:t>
            </w:r>
          </w:p>
          <w:p w14:paraId="5F428A56">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2、</w:t>
            </w:r>
            <w:r>
              <w:rPr>
                <w:rFonts w:hint="eastAsia" w:ascii="宋体" w:hAnsi="宋体" w:eastAsia="宋体" w:cs="宋体"/>
                <w:color w:val="auto"/>
                <w:sz w:val="18"/>
                <w:szCs w:val="18"/>
                <w:highlight w:val="none"/>
                <w:lang w:val="en-US" w:eastAsia="zh-CN"/>
              </w:rPr>
              <w:t>智能同传：安装部署方便，支持传统BIOS主板及UEFI主板；支持XP、Windows7 32/64、Windows8 32/64、Windows10 32/64、Windows11等操作系统；</w:t>
            </w:r>
          </w:p>
          <w:p w14:paraId="55455E9C">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3、</w:t>
            </w:r>
            <w:r>
              <w:rPr>
                <w:rFonts w:hint="eastAsia" w:ascii="宋体" w:hAnsi="宋体" w:eastAsia="宋体" w:cs="宋体"/>
                <w:color w:val="auto"/>
                <w:sz w:val="18"/>
                <w:szCs w:val="18"/>
                <w:highlight w:val="none"/>
                <w:lang w:val="en-US" w:eastAsia="zh-CN"/>
              </w:rPr>
              <w:t>网络对拷：支持PXE网卡引导，需同传的机子不管有没有系统都可进行快速部署。即使接收端硬盘状态不一，也能“增量对拷”，并智能化计算后传送最少数据量。</w:t>
            </w:r>
          </w:p>
          <w:p w14:paraId="0E81135D">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4、</w:t>
            </w:r>
            <w:r>
              <w:rPr>
                <w:rFonts w:hint="eastAsia" w:ascii="宋体" w:hAnsi="宋体" w:eastAsia="宋体" w:cs="宋体"/>
                <w:color w:val="auto"/>
                <w:sz w:val="18"/>
                <w:szCs w:val="18"/>
                <w:highlight w:val="none"/>
                <w:lang w:val="en-US" w:eastAsia="zh-CN"/>
              </w:rPr>
              <w:t>本地硬盘复制:同时支持本地1对3块硬盘复制，可以一对三进行硬盘对拷完，方便少数故障机快速恢复正常状态。系统克隆：在同一块硬盘上可以同时复制多个相同的操作系统到其他分区。可以在一块硬盘上克隆多个系统，快速部署，满足不同场景下的教学环境需求。</w:t>
            </w:r>
          </w:p>
          <w:p w14:paraId="75DEB3C7">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5、</w:t>
            </w:r>
            <w:r>
              <w:rPr>
                <w:rFonts w:hint="eastAsia" w:ascii="宋体" w:hAnsi="宋体" w:eastAsia="宋体" w:cs="宋体"/>
                <w:color w:val="auto"/>
                <w:sz w:val="18"/>
                <w:szCs w:val="18"/>
                <w:highlight w:val="none"/>
                <w:lang w:val="en-US" w:eastAsia="zh-CN"/>
              </w:rPr>
              <w:t>远程锁定：管理端可远程锁定客户端的鼠标、键盘或屏幕。</w:t>
            </w:r>
            <w:r>
              <w:rPr>
                <w:rFonts w:hint="eastAsia" w:ascii="宋体" w:hAnsi="宋体" w:eastAsia="宋体" w:cs="宋体"/>
                <w:color w:val="auto"/>
                <w:sz w:val="18"/>
                <w:szCs w:val="18"/>
                <w:highlight w:val="none"/>
                <w:lang w:val="en-US" w:eastAsia="zh-CN"/>
              </w:rPr>
              <w:tab/>
            </w:r>
          </w:p>
          <w:p w14:paraId="1B11D75A">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6、</w:t>
            </w:r>
            <w:r>
              <w:rPr>
                <w:rFonts w:hint="eastAsia" w:ascii="宋体" w:hAnsi="宋体" w:eastAsia="宋体" w:cs="宋体"/>
                <w:color w:val="auto"/>
                <w:sz w:val="18"/>
                <w:szCs w:val="18"/>
                <w:highlight w:val="none"/>
                <w:lang w:val="en-US" w:eastAsia="zh-CN"/>
              </w:rPr>
              <w:t>排程设置：设定时间后自动开机进行网络同传，完成后所有计算机自动关机。</w:t>
            </w:r>
          </w:p>
          <w:p w14:paraId="021C08F2">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7、</w:t>
            </w:r>
            <w:r>
              <w:rPr>
                <w:rFonts w:hint="eastAsia" w:ascii="宋体" w:hAnsi="宋体" w:eastAsia="宋体" w:cs="宋体"/>
                <w:color w:val="auto"/>
                <w:sz w:val="18"/>
                <w:szCs w:val="18"/>
                <w:highlight w:val="none"/>
                <w:lang w:val="en-US" w:eastAsia="zh-CN"/>
              </w:rPr>
              <w:t>资产管理:管理端可对客户端的软硬件信息进行资产盘点，并导出Doc或Excel文件以便保存。</w:t>
            </w:r>
          </w:p>
          <w:p w14:paraId="29A8C370">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8、</w:t>
            </w:r>
            <w:r>
              <w:rPr>
                <w:rFonts w:hint="eastAsia" w:ascii="宋体" w:hAnsi="宋体" w:eastAsia="宋体" w:cs="宋体"/>
                <w:color w:val="auto"/>
                <w:sz w:val="18"/>
                <w:szCs w:val="18"/>
                <w:highlight w:val="none"/>
                <w:lang w:val="en-US" w:eastAsia="zh-CN"/>
              </w:rPr>
              <w:t>产品升级：管理端可下发升级包在几分钟内就升级所有客户端程序。</w:t>
            </w:r>
          </w:p>
          <w:p w14:paraId="44D18840">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9、</w:t>
            </w:r>
            <w:r>
              <w:rPr>
                <w:rFonts w:hint="eastAsia" w:ascii="宋体" w:hAnsi="宋体" w:eastAsia="宋体" w:cs="宋体"/>
                <w:color w:val="auto"/>
                <w:sz w:val="18"/>
                <w:szCs w:val="18"/>
                <w:highlight w:val="none"/>
                <w:lang w:val="en-US" w:eastAsia="zh-CN"/>
              </w:rPr>
              <w:t>电子教室：软件含电子教室功能，实现课堂教学老师对学生广播教学、学生演示、网页广播、电子点名、提交作业等多项教学互动功能。</w:t>
            </w:r>
          </w:p>
          <w:p w14:paraId="6FCD62AF">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10、</w:t>
            </w:r>
            <w:r>
              <w:rPr>
                <w:rFonts w:hint="eastAsia" w:ascii="宋体" w:hAnsi="宋体" w:eastAsia="宋体" w:cs="宋体"/>
                <w:color w:val="auto"/>
                <w:sz w:val="18"/>
                <w:szCs w:val="18"/>
                <w:highlight w:val="none"/>
                <w:lang w:val="en-US" w:eastAsia="zh-CN"/>
              </w:rPr>
              <w:t>客户端搜索：管理端可以抓取该局域网内的所有客户端，即便该客户端已登入其他管理端。便于一次性管理所有电脑教室。将系统被使用的情况都记录在日志文件内，以供需要时查询。</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57CCFA59">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984" w:type="dxa"/>
            <w:tcBorders>
              <w:top w:val="single" w:color="000000" w:sz="4" w:space="0"/>
              <w:left w:val="single" w:color="000000" w:sz="4" w:space="0"/>
              <w:bottom w:val="single" w:color="000000" w:sz="4" w:space="0"/>
              <w:right w:val="single" w:color="000000" w:sz="4" w:space="0"/>
            </w:tcBorders>
            <w:noWrap/>
            <w:vAlign w:val="center"/>
          </w:tcPr>
          <w:p w14:paraId="6E70E258">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套（60点位）</w:t>
            </w:r>
          </w:p>
        </w:tc>
        <w:tc>
          <w:tcPr>
            <w:tcW w:w="1943" w:type="dxa"/>
            <w:tcBorders>
              <w:top w:val="single" w:color="000000" w:sz="4" w:space="0"/>
              <w:left w:val="single" w:color="000000" w:sz="4" w:space="0"/>
              <w:bottom w:val="single" w:color="000000" w:sz="4" w:space="0"/>
              <w:right w:val="single" w:color="000000" w:sz="4" w:space="0"/>
            </w:tcBorders>
            <w:noWrap w:val="0"/>
            <w:vAlign w:val="center"/>
          </w:tcPr>
          <w:p w14:paraId="5DD32067">
            <w:pPr>
              <w:rPr>
                <w:rFonts w:hint="eastAsia" w:ascii="宋体" w:hAnsi="宋体" w:eastAsia="宋体" w:cs="宋体"/>
                <w:color w:val="auto"/>
                <w:sz w:val="18"/>
                <w:szCs w:val="18"/>
                <w:highlight w:val="none"/>
                <w:lang w:val="en-US" w:eastAsia="zh-CN"/>
              </w:rPr>
            </w:pPr>
          </w:p>
        </w:tc>
      </w:tr>
      <w:tr w14:paraId="3BAEC69E">
        <w:tblPrEx>
          <w:tblCellMar>
            <w:top w:w="0" w:type="dxa"/>
            <w:left w:w="108" w:type="dxa"/>
            <w:bottom w:w="0" w:type="dxa"/>
            <w:right w:w="108" w:type="dxa"/>
          </w:tblCellMar>
        </w:tblPrEx>
        <w:trPr>
          <w:trHeight w:val="499" w:hRule="atLeast"/>
          <w:jc w:val="center"/>
        </w:trPr>
        <w:tc>
          <w:tcPr>
            <w:tcW w:w="815" w:type="dxa"/>
            <w:tcBorders>
              <w:top w:val="single" w:color="000000" w:sz="4" w:space="0"/>
              <w:left w:val="single" w:color="000000" w:sz="4" w:space="0"/>
              <w:bottom w:val="single" w:color="000000" w:sz="4" w:space="0"/>
              <w:right w:val="single" w:color="000000" w:sz="4" w:space="0"/>
            </w:tcBorders>
            <w:noWrap/>
            <w:vAlign w:val="center"/>
          </w:tcPr>
          <w:p w14:paraId="37DBAED0">
            <w:pPr>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3F7DF7A5">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电子教室</w:t>
            </w:r>
          </w:p>
        </w:tc>
        <w:tc>
          <w:tcPr>
            <w:tcW w:w="7705" w:type="dxa"/>
            <w:tcBorders>
              <w:top w:val="single" w:color="000000" w:sz="4" w:space="0"/>
              <w:left w:val="single" w:color="000000" w:sz="4" w:space="0"/>
              <w:bottom w:val="single" w:color="000000" w:sz="4" w:space="0"/>
              <w:right w:val="single" w:color="000000" w:sz="4" w:space="0"/>
            </w:tcBorders>
            <w:noWrap w:val="0"/>
            <w:vAlign w:val="center"/>
          </w:tcPr>
          <w:p w14:paraId="395E3A97">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1、屏幕广播：将教师机屏幕和教师讲话实时广播给单一、部分或全体学生，可选择全屏或窗口方式。</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2、共享白板：教师可共享白板、桌面或图片与选定的学生共同完成相同的学习任务或绘画作品，提供学生也可以单独完成。</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3、网络影院：实现教师机播放的视频同步广播到学生机。</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4、屏幕录制：教师机可以将本地的操作和讲解过程录制为mp4录像文件，可以用 Windows 自带的 Media Player 直接播放。</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5、学生端屏幕录制、回放：学生端接收教师端广播的时候可以自动录制教师机广播教学的过程，课后可以重复观看学习。</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文件分发：允许教师将教师机不同盘符中的目录或文件一起发送至生机的某目录下。目录不存在自动新建此目录；盘符不存在或路径非法不允许分发；文件已存在选择自动覆盖或保留原始文件。</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6、文件提交：学生把做好的作业直接提交到教师机，方便教师批改作业要收取的麻烦。</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7、屏幕监视：教师机可以监视单一、部分、全体学生机的屏幕，教师机每屏可监视多个学生屏幕（方便监视操作及查看）。可以控制教师机监控的同屏幕各窗口间、屏幕与屏幕间的切换速度。可手动或自动循环监视。</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8、网页限制：设定学生访问网站的黑名单或白名单，对学生可以访问的Internet站点进行管理。支持多浏览器限制，如QQ、IE、谷歌、360、遨游等浏览器。</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9、程序限制：通过各种策略的应用，可防止学生在教学过程中打游戏，或使用QQ，MSN等聊天工具，支持限制U盘，网络映射盘，硬盘虚拟盘，虚拟光盘，内存虚拟盘里的程序。</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10、自动锁屏：独有的断线保护自动锁屏技术，通过网卡的是否激活来锁定屏幕，避免学生拔掉网线违反纪律。</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11、防杀进程：为安全起见，学生端程序运行后，防止学生通过任务管理器结束学生端程序进程来逃脱教师控制。</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请求帮助：学生端遇到问题可请求帮助，教师端可远程遥控帮助学生解决问题。</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5FF34D4C">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984" w:type="dxa"/>
            <w:tcBorders>
              <w:top w:val="single" w:color="000000" w:sz="4" w:space="0"/>
              <w:left w:val="single" w:color="000000" w:sz="4" w:space="0"/>
              <w:bottom w:val="single" w:color="000000" w:sz="4" w:space="0"/>
              <w:right w:val="single" w:color="000000" w:sz="4" w:space="0"/>
            </w:tcBorders>
            <w:noWrap/>
            <w:vAlign w:val="center"/>
          </w:tcPr>
          <w:p w14:paraId="733E8C1F">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套</w:t>
            </w:r>
          </w:p>
        </w:tc>
        <w:tc>
          <w:tcPr>
            <w:tcW w:w="1943" w:type="dxa"/>
            <w:tcBorders>
              <w:top w:val="single" w:color="000000" w:sz="4" w:space="0"/>
              <w:left w:val="single" w:color="000000" w:sz="4" w:space="0"/>
              <w:bottom w:val="single" w:color="000000" w:sz="4" w:space="0"/>
              <w:right w:val="single" w:color="000000" w:sz="4" w:space="0"/>
            </w:tcBorders>
            <w:noWrap w:val="0"/>
            <w:vAlign w:val="center"/>
          </w:tcPr>
          <w:p w14:paraId="22609A0A">
            <w:pPr>
              <w:rPr>
                <w:rFonts w:hint="eastAsia" w:ascii="宋体" w:hAnsi="宋体" w:eastAsia="宋体" w:cs="宋体"/>
                <w:color w:val="auto"/>
                <w:sz w:val="18"/>
                <w:szCs w:val="18"/>
                <w:highlight w:val="none"/>
              </w:rPr>
            </w:pPr>
          </w:p>
        </w:tc>
      </w:tr>
      <w:tr w14:paraId="508A1EFA">
        <w:tblPrEx>
          <w:tblCellMar>
            <w:top w:w="0" w:type="dxa"/>
            <w:left w:w="108" w:type="dxa"/>
            <w:bottom w:w="0" w:type="dxa"/>
            <w:right w:w="108" w:type="dxa"/>
          </w:tblCellMar>
        </w:tblPrEx>
        <w:trPr>
          <w:trHeight w:val="499" w:hRule="atLeast"/>
          <w:jc w:val="center"/>
        </w:trPr>
        <w:tc>
          <w:tcPr>
            <w:tcW w:w="815" w:type="dxa"/>
            <w:tcBorders>
              <w:top w:val="single" w:color="000000" w:sz="4" w:space="0"/>
              <w:left w:val="single" w:color="000000" w:sz="4" w:space="0"/>
              <w:bottom w:val="single" w:color="000000" w:sz="4" w:space="0"/>
              <w:right w:val="single" w:color="000000" w:sz="4" w:space="0"/>
            </w:tcBorders>
            <w:noWrap/>
            <w:vAlign w:val="center"/>
          </w:tcPr>
          <w:p w14:paraId="27C3D73D">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56CEDBC2">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智能交互平板</w:t>
            </w:r>
          </w:p>
        </w:tc>
        <w:tc>
          <w:tcPr>
            <w:tcW w:w="7705" w:type="dxa"/>
            <w:tcBorders>
              <w:top w:val="single" w:color="000000" w:sz="4" w:space="0"/>
              <w:left w:val="single" w:color="000000" w:sz="4" w:space="0"/>
              <w:bottom w:val="single" w:color="000000" w:sz="4" w:space="0"/>
              <w:right w:val="single" w:color="000000" w:sz="4" w:space="0"/>
            </w:tcBorders>
            <w:noWrap w:val="0"/>
            <w:vAlign w:val="center"/>
          </w:tcPr>
          <w:p w14:paraId="071FADAF">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1.智能交互平板显示尺寸≥86英寸，分辨率</w:t>
            </w:r>
            <w:r>
              <w:rPr>
                <w:rFonts w:hint="eastAsia" w:ascii="宋体" w:hAnsi="宋体" w:eastAsia="宋体" w:cs="宋体"/>
                <w:b w:val="0"/>
                <w:bCs w:val="0"/>
                <w:color w:val="auto"/>
                <w:sz w:val="18"/>
                <w:szCs w:val="18"/>
                <w:highlight w:val="none"/>
                <w:lang w:val="en-US" w:eastAsia="zh-CN"/>
              </w:rPr>
              <w:t>≥</w:t>
            </w:r>
            <w:r>
              <w:rPr>
                <w:rFonts w:hint="eastAsia" w:ascii="宋体" w:hAnsi="宋体" w:eastAsia="宋体" w:cs="宋体"/>
                <w:color w:val="auto"/>
                <w:sz w:val="18"/>
                <w:szCs w:val="18"/>
                <w:highlight w:val="none"/>
                <w:lang w:val="en-US" w:eastAsia="zh-CN"/>
              </w:rPr>
              <w:t>3840*2160，采用红外触控技术，在双系统下均支持20点同时触控及书写，智能交互平板显示部分需采用高色彩覆盖技术，NTSC色域标准下覆盖率不低于95%。</w:t>
            </w:r>
          </w:p>
          <w:p w14:paraId="2AA63098">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2.设备采用物理减滤蓝光设计，无需其他的多余按键操作即可实现防蓝光，有效保护用眼健康，通过扫描设备自带的二维码可获取检测机构的认证信息。</w:t>
            </w:r>
          </w:p>
          <w:p w14:paraId="6F756F8C">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3.为方便外接信号源的输入以及满足数据的高速传输需求，设备至少1路前置HDMI接口（非转接）、2路前置USB3.0接口1路Type-C接口，同时为方便用户外接拓展设备，整机标配1路VGA输入接口。</w:t>
            </w:r>
          </w:p>
          <w:p w14:paraId="40CD0101">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 xml:space="preserve">4.为方便用户进行各类设置和操作，设备前置按键不少于7个，可快速进行音量加减、窗口关闭、触控开关等功能的设置和调用，且均具备按键复用功能。 </w:t>
            </w:r>
          </w:p>
          <w:p w14:paraId="4B45A894">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5.内置电脑</w:t>
            </w:r>
          </w:p>
          <w:p w14:paraId="71CD017D">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⑴采用80pin Intel通用标准接口,即插即用，易于维护；</w:t>
            </w:r>
          </w:p>
          <w:p w14:paraId="0843CC3B">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⑵CPU采用Intel第11代及以上平台处理器酷睿I5处理器；</w:t>
            </w:r>
          </w:p>
          <w:p w14:paraId="06157400">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 xml:space="preserve">⑶内存：不低于8G DDR4；硬盘：不低于256G SSD固态硬盘； </w:t>
            </w:r>
          </w:p>
          <w:p w14:paraId="6E8A4AD5">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⑷接口：整机非外扩展具备</w:t>
            </w:r>
            <w:r>
              <w:rPr>
                <w:rFonts w:hint="eastAsia" w:ascii="宋体" w:hAnsi="宋体" w:eastAsia="宋体" w:cs="宋体"/>
                <w:b w:val="0"/>
                <w:bCs w:val="0"/>
                <w:color w:val="auto"/>
                <w:sz w:val="18"/>
                <w:szCs w:val="18"/>
                <w:highlight w:val="none"/>
                <w:lang w:val="en-US" w:eastAsia="zh-CN"/>
              </w:rPr>
              <w:t>≥</w:t>
            </w:r>
            <w:r>
              <w:rPr>
                <w:rFonts w:hint="eastAsia" w:ascii="宋体" w:hAnsi="宋体" w:eastAsia="宋体" w:cs="宋体"/>
                <w:color w:val="auto"/>
                <w:sz w:val="18"/>
                <w:szCs w:val="18"/>
                <w:highlight w:val="none"/>
                <w:lang w:val="en-US" w:eastAsia="zh-CN"/>
              </w:rPr>
              <w:t>5个USB接口；具有独立非外扩展的视频输出接口：1路HDMI等。</w:t>
            </w:r>
          </w:p>
          <w:p w14:paraId="39CD53E3">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6.保修：整机提供3年质保及免费上门服务。</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1A1CD05D">
            <w:pPr>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984" w:type="dxa"/>
            <w:tcBorders>
              <w:top w:val="single" w:color="000000" w:sz="4" w:space="0"/>
              <w:left w:val="single" w:color="000000" w:sz="4" w:space="0"/>
              <w:bottom w:val="single" w:color="000000" w:sz="4" w:space="0"/>
              <w:right w:val="single" w:color="000000" w:sz="4" w:space="0"/>
            </w:tcBorders>
            <w:noWrap/>
            <w:vAlign w:val="center"/>
          </w:tcPr>
          <w:p w14:paraId="35F20189">
            <w:pPr>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台</w:t>
            </w:r>
          </w:p>
        </w:tc>
        <w:tc>
          <w:tcPr>
            <w:tcW w:w="1943" w:type="dxa"/>
            <w:tcBorders>
              <w:top w:val="single" w:color="000000" w:sz="4" w:space="0"/>
              <w:left w:val="single" w:color="000000" w:sz="4" w:space="0"/>
              <w:bottom w:val="single" w:color="000000" w:sz="4" w:space="0"/>
              <w:right w:val="single" w:color="000000" w:sz="4" w:space="0"/>
            </w:tcBorders>
            <w:noWrap/>
            <w:vAlign w:val="center"/>
          </w:tcPr>
          <w:p w14:paraId="32B1D812">
            <w:pPr>
              <w:rPr>
                <w:rFonts w:hint="eastAsia" w:ascii="宋体" w:hAnsi="宋体" w:eastAsia="宋体" w:cs="宋体"/>
                <w:color w:val="auto"/>
                <w:sz w:val="18"/>
                <w:szCs w:val="18"/>
                <w:highlight w:val="none"/>
              </w:rPr>
            </w:pPr>
          </w:p>
        </w:tc>
      </w:tr>
      <w:tr w14:paraId="0C85937C">
        <w:tblPrEx>
          <w:tblCellMar>
            <w:top w:w="0" w:type="dxa"/>
            <w:left w:w="108" w:type="dxa"/>
            <w:bottom w:w="0" w:type="dxa"/>
            <w:right w:w="108" w:type="dxa"/>
          </w:tblCellMar>
        </w:tblPrEx>
        <w:trPr>
          <w:trHeight w:val="249" w:hRule="atLeast"/>
          <w:jc w:val="center"/>
        </w:trPr>
        <w:tc>
          <w:tcPr>
            <w:tcW w:w="815" w:type="dxa"/>
            <w:tcBorders>
              <w:top w:val="single" w:color="000000" w:sz="4" w:space="0"/>
              <w:left w:val="single" w:color="000000" w:sz="4" w:space="0"/>
              <w:bottom w:val="single" w:color="000000" w:sz="4" w:space="0"/>
              <w:right w:val="single" w:color="000000" w:sz="4" w:space="0"/>
            </w:tcBorders>
            <w:noWrap/>
            <w:vAlign w:val="center"/>
          </w:tcPr>
          <w:p w14:paraId="093D6AB9">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5</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3F6ED8CF">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电脑桌面开关</w:t>
            </w:r>
          </w:p>
        </w:tc>
        <w:tc>
          <w:tcPr>
            <w:tcW w:w="7705" w:type="dxa"/>
            <w:tcBorders>
              <w:top w:val="single" w:color="000000" w:sz="4" w:space="0"/>
              <w:left w:val="single" w:color="000000" w:sz="4" w:space="0"/>
              <w:bottom w:val="single" w:color="000000" w:sz="4" w:space="0"/>
              <w:right w:val="single" w:color="000000" w:sz="4" w:space="0"/>
            </w:tcBorders>
            <w:noWrap w:val="0"/>
            <w:vAlign w:val="center"/>
          </w:tcPr>
          <w:p w14:paraId="368EE241">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5" w:leftChars="0" w:hanging="425"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1.</w:t>
            </w:r>
            <w:r>
              <w:rPr>
                <w:rFonts w:hint="eastAsia" w:ascii="宋体" w:hAnsi="宋体" w:eastAsia="宋体" w:cs="宋体"/>
                <w:color w:val="auto"/>
                <w:sz w:val="18"/>
                <w:szCs w:val="18"/>
                <w:highlight w:val="none"/>
                <w:lang w:val="en-US" w:eastAsia="zh-CN"/>
              </w:rPr>
              <w:t>电源开关：必备功能，用于开启或关闭机箱电源。</w:t>
            </w:r>
          </w:p>
          <w:p w14:paraId="63E14B11">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5" w:leftChars="0" w:hanging="425"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2.</w:t>
            </w:r>
            <w:r>
              <w:rPr>
                <w:rFonts w:hint="eastAsia" w:ascii="宋体" w:hAnsi="宋体" w:eastAsia="宋体" w:cs="宋体"/>
                <w:color w:val="auto"/>
                <w:sz w:val="18"/>
                <w:szCs w:val="18"/>
                <w:highlight w:val="none"/>
                <w:lang w:val="en-US" w:eastAsia="zh-CN"/>
              </w:rPr>
              <w:t>复位开关：大部分机箱具备，用于在系统出现故障时重启电脑。</w:t>
            </w:r>
          </w:p>
          <w:p w14:paraId="3C363E2F">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5" w:leftChars="0" w:hanging="425"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3.</w:t>
            </w:r>
            <w:r>
              <w:rPr>
                <w:rFonts w:hint="eastAsia" w:ascii="宋体" w:hAnsi="宋体" w:eastAsia="宋体" w:cs="宋体"/>
                <w:color w:val="auto"/>
                <w:sz w:val="18"/>
                <w:szCs w:val="18"/>
                <w:highlight w:val="none"/>
                <w:lang w:val="en-US" w:eastAsia="zh-CN"/>
              </w:rPr>
              <w:t>电源指示灯：单个 LED 灯，通常为绿色或白色，当指示灯亮起时，表示系统已通电。</w:t>
            </w:r>
          </w:p>
          <w:p w14:paraId="5CFBAAA8">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5" w:leftChars="0" w:hanging="425"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4.</w:t>
            </w:r>
            <w:r>
              <w:rPr>
                <w:rFonts w:hint="eastAsia" w:ascii="宋体" w:hAnsi="宋体" w:eastAsia="宋体" w:cs="宋体"/>
                <w:color w:val="auto"/>
                <w:sz w:val="18"/>
                <w:szCs w:val="18"/>
                <w:highlight w:val="none"/>
                <w:lang w:val="en-US" w:eastAsia="zh-CN"/>
              </w:rPr>
              <w:t>硬盘活动指示灯：单个 LED 灯，通常为红色，当指示灯闪烁时，表示硬盘正在进行读写操作。</w:t>
            </w:r>
          </w:p>
          <w:p w14:paraId="3A1C021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5" w:leftChars="0" w:hanging="425"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5.</w:t>
            </w:r>
            <w:r>
              <w:rPr>
                <w:rFonts w:hint="eastAsia" w:ascii="宋体" w:hAnsi="宋体" w:eastAsia="宋体" w:cs="宋体"/>
                <w:color w:val="auto"/>
                <w:sz w:val="18"/>
                <w:szCs w:val="18"/>
                <w:highlight w:val="none"/>
                <w:lang w:val="en-US" w:eastAsia="zh-CN"/>
              </w:rPr>
              <w:t>前置音频接口：采用 3.5mm 规格，包含耳机插孔和麦克风插孔，方便用户连接音频设备。</w:t>
            </w:r>
          </w:p>
          <w:p w14:paraId="026A9EE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5" w:leftChars="0" w:hanging="425"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6.</w:t>
            </w:r>
            <w:r>
              <w:rPr>
                <w:rFonts w:hint="eastAsia" w:ascii="宋体" w:hAnsi="宋体" w:eastAsia="宋体" w:cs="宋体"/>
                <w:color w:val="auto"/>
                <w:sz w:val="18"/>
                <w:szCs w:val="18"/>
                <w:highlight w:val="none"/>
                <w:lang w:val="en-US" w:eastAsia="zh-CN"/>
              </w:rPr>
              <w:t>前置 USB 接口：</w:t>
            </w:r>
          </w:p>
          <w:p w14:paraId="7C7D39B8">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5" w:leftChars="0" w:hanging="425"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USB 2.0 接口：传输速度相对较慢，适用于连接对传输速度要求不高的设备。</w:t>
            </w:r>
          </w:p>
          <w:p w14:paraId="05F2995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5" w:leftChars="0" w:hanging="425"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USB 3.0 接口：接口颜色通常为蓝色（Type-A 口），传输速度比 USB 2.0 快。</w:t>
            </w:r>
          </w:p>
          <w:p w14:paraId="30E5A968">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5" w:leftChars="0" w:hanging="425"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USB 3.1 / 3.2 Gen 1 / Gen 2 接口：在传输速度上有所提升，满足不同设备的数据传输需求。</w:t>
            </w:r>
          </w:p>
          <w:p w14:paraId="2FFE74F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5" w:leftChars="0" w:hanging="425"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7.</w:t>
            </w:r>
            <w:r>
              <w:rPr>
                <w:rFonts w:hint="eastAsia" w:ascii="宋体" w:hAnsi="宋体" w:eastAsia="宋体" w:cs="宋体"/>
                <w:color w:val="auto"/>
                <w:sz w:val="18"/>
                <w:szCs w:val="18"/>
                <w:highlight w:val="none"/>
                <w:lang w:val="en-US" w:eastAsia="zh-CN"/>
              </w:rPr>
              <w:t>安装方式通常有两种：</w:t>
            </w:r>
          </w:p>
          <w:p w14:paraId="3477319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5" w:leftChars="0" w:hanging="425"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卡扣式：通过模块自身的卡扣结构，直接卡在机箱前面板的开孔处，安装和拆卸较为便捷。</w:t>
            </w:r>
          </w:p>
          <w:p w14:paraId="610DE168">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螺丝固定：使用螺丝将开关模块固定在机箱前面板上，这种安装方式更为稳固，可有效防止模块松动。</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6DAA99EB">
            <w:pPr>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60</w:t>
            </w:r>
          </w:p>
        </w:tc>
        <w:tc>
          <w:tcPr>
            <w:tcW w:w="984" w:type="dxa"/>
            <w:tcBorders>
              <w:top w:val="single" w:color="000000" w:sz="4" w:space="0"/>
              <w:left w:val="single" w:color="000000" w:sz="4" w:space="0"/>
              <w:bottom w:val="single" w:color="000000" w:sz="4" w:space="0"/>
              <w:right w:val="single" w:color="000000" w:sz="4" w:space="0"/>
            </w:tcBorders>
            <w:noWrap/>
            <w:vAlign w:val="center"/>
          </w:tcPr>
          <w:p w14:paraId="6F03C7C8">
            <w:pPr>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个</w:t>
            </w:r>
          </w:p>
        </w:tc>
        <w:tc>
          <w:tcPr>
            <w:tcW w:w="1943" w:type="dxa"/>
            <w:tcBorders>
              <w:top w:val="single" w:color="000000" w:sz="4" w:space="0"/>
              <w:left w:val="single" w:color="000000" w:sz="4" w:space="0"/>
              <w:bottom w:val="single" w:color="000000" w:sz="4" w:space="0"/>
              <w:right w:val="single" w:color="000000" w:sz="4" w:space="0"/>
            </w:tcBorders>
            <w:noWrap/>
            <w:vAlign w:val="center"/>
          </w:tcPr>
          <w:p w14:paraId="599A4BF9">
            <w:pPr>
              <w:rPr>
                <w:rFonts w:hint="eastAsia" w:ascii="宋体" w:hAnsi="宋体" w:eastAsia="宋体" w:cs="宋体"/>
                <w:color w:val="auto"/>
                <w:sz w:val="18"/>
                <w:szCs w:val="18"/>
                <w:highlight w:val="none"/>
              </w:rPr>
            </w:pPr>
          </w:p>
        </w:tc>
      </w:tr>
      <w:tr w14:paraId="028413D3">
        <w:tblPrEx>
          <w:tblCellMar>
            <w:top w:w="0" w:type="dxa"/>
            <w:left w:w="108" w:type="dxa"/>
            <w:bottom w:w="0" w:type="dxa"/>
            <w:right w:w="108" w:type="dxa"/>
          </w:tblCellMar>
        </w:tblPrEx>
        <w:trPr>
          <w:trHeight w:val="499" w:hRule="atLeast"/>
          <w:jc w:val="center"/>
        </w:trPr>
        <w:tc>
          <w:tcPr>
            <w:tcW w:w="14542" w:type="dxa"/>
            <w:gridSpan w:val="6"/>
            <w:tcBorders>
              <w:top w:val="single" w:color="000000" w:sz="4" w:space="0"/>
              <w:left w:val="single" w:color="000000" w:sz="4" w:space="0"/>
              <w:bottom w:val="single" w:color="000000" w:sz="4" w:space="0"/>
              <w:right w:val="single" w:color="000000" w:sz="4" w:space="0"/>
            </w:tcBorders>
            <w:noWrap/>
            <w:vAlign w:val="center"/>
          </w:tcPr>
          <w:p w14:paraId="534BD33B">
            <w:pPr>
              <w:jc w:val="lef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b/>
                <w:bCs/>
                <w:color w:val="auto"/>
                <w:sz w:val="21"/>
                <w:szCs w:val="21"/>
                <w:highlight w:val="none"/>
                <w:lang w:val="en-US" w:eastAsia="zh-CN" w:bidi="ar"/>
              </w:rPr>
              <w:t>（二）实训室配套清单</w:t>
            </w:r>
          </w:p>
        </w:tc>
      </w:tr>
      <w:tr w14:paraId="75E47A8D">
        <w:tblPrEx>
          <w:tblCellMar>
            <w:top w:w="0" w:type="dxa"/>
            <w:left w:w="108" w:type="dxa"/>
            <w:bottom w:w="0" w:type="dxa"/>
            <w:right w:w="108" w:type="dxa"/>
          </w:tblCellMar>
        </w:tblPrEx>
        <w:trPr>
          <w:trHeight w:val="499" w:hRule="atLeast"/>
          <w:jc w:val="center"/>
        </w:trPr>
        <w:tc>
          <w:tcPr>
            <w:tcW w:w="815" w:type="dxa"/>
            <w:tcBorders>
              <w:top w:val="single" w:color="000000" w:sz="4" w:space="0"/>
              <w:left w:val="single" w:color="000000" w:sz="4" w:space="0"/>
              <w:bottom w:val="single" w:color="000000" w:sz="4" w:space="0"/>
              <w:right w:val="single" w:color="000000" w:sz="4" w:space="0"/>
            </w:tcBorders>
            <w:noWrap/>
            <w:vAlign w:val="center"/>
          </w:tcPr>
          <w:p w14:paraId="6B0DA6B3">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0E3CD5EA">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安装施工</w:t>
            </w:r>
          </w:p>
        </w:tc>
        <w:tc>
          <w:tcPr>
            <w:tcW w:w="7705" w:type="dxa"/>
            <w:tcBorders>
              <w:top w:val="single" w:color="000000" w:sz="4" w:space="0"/>
              <w:left w:val="single" w:color="000000" w:sz="4" w:space="0"/>
              <w:bottom w:val="single" w:color="000000" w:sz="4" w:space="0"/>
              <w:right w:val="single" w:color="000000" w:sz="4" w:space="0"/>
            </w:tcBorders>
            <w:noWrap w:val="0"/>
            <w:vAlign w:val="center"/>
          </w:tcPr>
          <w:p w14:paraId="3F34F28F">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1.</w:t>
            </w:r>
            <w:r>
              <w:rPr>
                <w:rFonts w:hint="eastAsia" w:ascii="宋体" w:hAnsi="宋体" w:eastAsia="宋体" w:cs="宋体"/>
                <w:color w:val="auto"/>
                <w:sz w:val="18"/>
                <w:szCs w:val="18"/>
                <w:highlight w:val="none"/>
                <w:lang w:val="en-US" w:eastAsia="zh-CN"/>
              </w:rPr>
              <w:t>包含Aol电箱移位改造、4㎡电线、超五类网线、8芯光缆、满配终端盒、熔接、跳纤。</w:t>
            </w:r>
          </w:p>
          <w:p w14:paraId="477950EB">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2.</w:t>
            </w:r>
            <w:r>
              <w:rPr>
                <w:rFonts w:hint="eastAsia" w:ascii="宋体" w:hAnsi="宋体" w:eastAsia="宋体" w:cs="宋体"/>
                <w:color w:val="auto"/>
                <w:sz w:val="18"/>
                <w:szCs w:val="18"/>
                <w:highlight w:val="none"/>
                <w:lang w:val="en-US" w:eastAsia="zh-CN"/>
              </w:rPr>
              <w:t>打墙（隔壁房间打通），拆除墙面以及除渣，打墙面积约30平（实际以测量为准）。</w:t>
            </w:r>
          </w:p>
          <w:p w14:paraId="349DD6A6">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3.</w:t>
            </w:r>
            <w:r>
              <w:rPr>
                <w:rFonts w:hint="eastAsia" w:ascii="宋体" w:hAnsi="宋体" w:eastAsia="宋体" w:cs="宋体"/>
                <w:color w:val="auto"/>
                <w:sz w:val="18"/>
                <w:szCs w:val="18"/>
                <w:highlight w:val="none"/>
                <w:lang w:val="en-US" w:eastAsia="zh-CN"/>
              </w:rPr>
              <w:t>墙面处理（刮白粉刷处理）、PVC管材以及相应辅材。</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0647EB1C">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984" w:type="dxa"/>
            <w:tcBorders>
              <w:top w:val="single" w:color="000000" w:sz="4" w:space="0"/>
              <w:left w:val="single" w:color="000000" w:sz="4" w:space="0"/>
              <w:bottom w:val="single" w:color="000000" w:sz="4" w:space="0"/>
              <w:right w:val="single" w:color="000000" w:sz="4" w:space="0"/>
            </w:tcBorders>
            <w:noWrap/>
            <w:vAlign w:val="center"/>
          </w:tcPr>
          <w:p w14:paraId="3855036D">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间</w:t>
            </w:r>
          </w:p>
        </w:tc>
        <w:tc>
          <w:tcPr>
            <w:tcW w:w="1943" w:type="dxa"/>
            <w:tcBorders>
              <w:top w:val="single" w:color="000000" w:sz="4" w:space="0"/>
              <w:left w:val="single" w:color="000000" w:sz="4" w:space="0"/>
              <w:bottom w:val="single" w:color="000000" w:sz="4" w:space="0"/>
              <w:right w:val="single" w:color="000000" w:sz="4" w:space="0"/>
            </w:tcBorders>
            <w:noWrap/>
            <w:vAlign w:val="center"/>
          </w:tcPr>
          <w:p w14:paraId="011F29B4">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rPr>
            </w:pPr>
          </w:p>
        </w:tc>
      </w:tr>
      <w:tr w14:paraId="29F626EA">
        <w:tblPrEx>
          <w:tblCellMar>
            <w:top w:w="0" w:type="dxa"/>
            <w:left w:w="108" w:type="dxa"/>
            <w:bottom w:w="0" w:type="dxa"/>
            <w:right w:w="108" w:type="dxa"/>
          </w:tblCellMar>
        </w:tblPrEx>
        <w:trPr>
          <w:trHeight w:val="499" w:hRule="atLeast"/>
          <w:jc w:val="center"/>
        </w:trPr>
        <w:tc>
          <w:tcPr>
            <w:tcW w:w="815" w:type="dxa"/>
            <w:tcBorders>
              <w:top w:val="single" w:color="000000" w:sz="4" w:space="0"/>
              <w:left w:val="single" w:color="000000" w:sz="4" w:space="0"/>
              <w:bottom w:val="single" w:color="000000" w:sz="4" w:space="0"/>
              <w:right w:val="single" w:color="000000" w:sz="4" w:space="0"/>
            </w:tcBorders>
            <w:noWrap/>
            <w:vAlign w:val="center"/>
          </w:tcPr>
          <w:p w14:paraId="568D2A83">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18F5AF37">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综合布线以及安装调试</w:t>
            </w:r>
          </w:p>
        </w:tc>
        <w:tc>
          <w:tcPr>
            <w:tcW w:w="7705" w:type="dxa"/>
            <w:tcBorders>
              <w:top w:val="single" w:color="000000" w:sz="4" w:space="0"/>
              <w:left w:val="single" w:color="000000" w:sz="4" w:space="0"/>
              <w:bottom w:val="single" w:color="000000" w:sz="4" w:space="0"/>
              <w:right w:val="single" w:color="000000" w:sz="4" w:space="0"/>
            </w:tcBorders>
            <w:noWrap w:val="0"/>
            <w:vAlign w:val="center"/>
          </w:tcPr>
          <w:p w14:paraId="11A3095A">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所需的2.5㎡、4㎡强电线缆，六类网线弱电线缆以及相应的公牛排插等辅材，搬运安装调试</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622AA909">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984" w:type="dxa"/>
            <w:tcBorders>
              <w:top w:val="single" w:color="000000" w:sz="4" w:space="0"/>
              <w:left w:val="single" w:color="000000" w:sz="4" w:space="0"/>
              <w:bottom w:val="single" w:color="000000" w:sz="4" w:space="0"/>
              <w:right w:val="single" w:color="000000" w:sz="4" w:space="0"/>
            </w:tcBorders>
            <w:noWrap/>
            <w:vAlign w:val="center"/>
          </w:tcPr>
          <w:p w14:paraId="153F0C24">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批</w:t>
            </w:r>
          </w:p>
        </w:tc>
        <w:tc>
          <w:tcPr>
            <w:tcW w:w="1943" w:type="dxa"/>
            <w:tcBorders>
              <w:top w:val="single" w:color="000000" w:sz="4" w:space="0"/>
              <w:left w:val="single" w:color="000000" w:sz="4" w:space="0"/>
              <w:bottom w:val="single" w:color="000000" w:sz="4" w:space="0"/>
              <w:right w:val="single" w:color="000000" w:sz="4" w:space="0"/>
            </w:tcBorders>
            <w:noWrap/>
            <w:vAlign w:val="center"/>
          </w:tcPr>
          <w:p w14:paraId="44C48AE4">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rPr>
            </w:pPr>
          </w:p>
        </w:tc>
      </w:tr>
      <w:tr w14:paraId="76C6D7DC">
        <w:tblPrEx>
          <w:tblCellMar>
            <w:top w:w="0" w:type="dxa"/>
            <w:left w:w="108" w:type="dxa"/>
            <w:bottom w:w="0" w:type="dxa"/>
            <w:right w:w="108" w:type="dxa"/>
          </w:tblCellMar>
        </w:tblPrEx>
        <w:trPr>
          <w:trHeight w:val="499" w:hRule="atLeast"/>
          <w:jc w:val="center"/>
        </w:trPr>
        <w:tc>
          <w:tcPr>
            <w:tcW w:w="815" w:type="dxa"/>
            <w:tcBorders>
              <w:top w:val="single" w:color="000000" w:sz="4" w:space="0"/>
              <w:left w:val="single" w:color="000000" w:sz="4" w:space="0"/>
              <w:bottom w:val="single" w:color="000000" w:sz="4" w:space="0"/>
              <w:right w:val="single" w:color="000000" w:sz="4" w:space="0"/>
            </w:tcBorders>
            <w:noWrap/>
            <w:vAlign w:val="center"/>
          </w:tcPr>
          <w:p w14:paraId="162ADD2C">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488CD8AC">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机柜</w:t>
            </w:r>
          </w:p>
        </w:tc>
        <w:tc>
          <w:tcPr>
            <w:tcW w:w="7705" w:type="dxa"/>
            <w:tcBorders>
              <w:top w:val="single" w:color="000000" w:sz="4" w:space="0"/>
              <w:left w:val="single" w:color="000000" w:sz="4" w:space="0"/>
              <w:bottom w:val="single" w:color="000000" w:sz="4" w:space="0"/>
              <w:right w:val="single" w:color="000000" w:sz="4" w:space="0"/>
            </w:tcBorders>
            <w:noWrap w:val="0"/>
            <w:vAlign w:val="center"/>
          </w:tcPr>
          <w:p w14:paraId="196BC1AE">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1、参数要求：</w:t>
            </w:r>
            <w:r>
              <w:rPr>
                <w:rFonts w:hint="eastAsia" w:ascii="宋体" w:hAnsi="宋体" w:eastAsia="宋体" w:cs="宋体"/>
                <w:b w:val="0"/>
                <w:bCs w:val="0"/>
                <w:color w:val="auto"/>
                <w:sz w:val="18"/>
                <w:szCs w:val="18"/>
                <w:highlight w:val="none"/>
                <w:lang w:val="en-US" w:eastAsia="zh-CN"/>
              </w:rPr>
              <w:t>≥</w:t>
            </w:r>
            <w:r>
              <w:rPr>
                <w:rFonts w:hint="eastAsia" w:ascii="宋体" w:hAnsi="宋体" w:eastAsia="宋体" w:cs="宋体"/>
                <w:color w:val="auto"/>
                <w:kern w:val="0"/>
                <w:sz w:val="18"/>
                <w:szCs w:val="18"/>
                <w:highlight w:val="none"/>
                <w:lang w:val="en-US" w:eastAsia="zh-CN" w:bidi="ar"/>
              </w:rPr>
              <w:t>600*800*1200mm，整体框架结构，材料：框架: SPCC优质冷轧钢板；厚度：方孔条</w:t>
            </w:r>
            <w:r>
              <w:rPr>
                <w:rFonts w:hint="eastAsia" w:ascii="宋体" w:hAnsi="宋体" w:eastAsia="宋体" w:cs="宋体"/>
                <w:b w:val="0"/>
                <w:bCs w:val="0"/>
                <w:color w:val="auto"/>
                <w:sz w:val="18"/>
                <w:szCs w:val="18"/>
                <w:highlight w:val="none"/>
                <w:lang w:val="en-US" w:eastAsia="zh-CN"/>
              </w:rPr>
              <w:t>≥</w:t>
            </w:r>
            <w:r>
              <w:rPr>
                <w:rFonts w:hint="eastAsia" w:ascii="宋体" w:hAnsi="宋体" w:eastAsia="宋体" w:cs="宋体"/>
                <w:color w:val="auto"/>
                <w:kern w:val="0"/>
                <w:sz w:val="18"/>
                <w:szCs w:val="18"/>
                <w:highlight w:val="none"/>
                <w:lang w:val="en-US" w:eastAsia="zh-CN" w:bidi="ar"/>
              </w:rPr>
              <w:t>2.0mm，安装梁</w:t>
            </w:r>
            <w:r>
              <w:rPr>
                <w:rFonts w:hint="eastAsia" w:ascii="宋体" w:hAnsi="宋体" w:eastAsia="宋体" w:cs="宋体"/>
                <w:b w:val="0"/>
                <w:bCs w:val="0"/>
                <w:color w:val="auto"/>
                <w:sz w:val="18"/>
                <w:szCs w:val="18"/>
                <w:highlight w:val="none"/>
                <w:lang w:val="en-US" w:eastAsia="zh-CN"/>
              </w:rPr>
              <w:t>≥</w:t>
            </w:r>
            <w:r>
              <w:rPr>
                <w:rFonts w:hint="eastAsia" w:ascii="宋体" w:hAnsi="宋体" w:eastAsia="宋体" w:cs="宋体"/>
                <w:color w:val="auto"/>
                <w:kern w:val="0"/>
                <w:sz w:val="18"/>
                <w:szCs w:val="18"/>
                <w:highlight w:val="none"/>
                <w:lang w:val="en-US" w:eastAsia="zh-CN" w:bidi="ar"/>
              </w:rPr>
              <w:t>1.2mm，侧门</w:t>
            </w:r>
            <w:r>
              <w:rPr>
                <w:rFonts w:hint="eastAsia" w:ascii="宋体" w:hAnsi="宋体" w:eastAsia="宋体" w:cs="宋体"/>
                <w:b w:val="0"/>
                <w:bCs w:val="0"/>
                <w:color w:val="auto"/>
                <w:sz w:val="18"/>
                <w:szCs w:val="18"/>
                <w:highlight w:val="none"/>
                <w:lang w:val="en-US" w:eastAsia="zh-CN"/>
              </w:rPr>
              <w:t>≥</w:t>
            </w:r>
            <w:r>
              <w:rPr>
                <w:rFonts w:hint="eastAsia" w:ascii="宋体" w:hAnsi="宋体" w:eastAsia="宋体" w:cs="宋体"/>
                <w:color w:val="auto"/>
                <w:kern w:val="0"/>
                <w:sz w:val="18"/>
                <w:szCs w:val="18"/>
                <w:highlight w:val="none"/>
                <w:lang w:val="en-US" w:eastAsia="zh-CN" w:bidi="ar"/>
              </w:rPr>
              <w:t>1.0mm，其它</w:t>
            </w:r>
            <w:r>
              <w:rPr>
                <w:rFonts w:hint="eastAsia" w:ascii="宋体" w:hAnsi="宋体" w:eastAsia="宋体" w:cs="宋体"/>
                <w:b w:val="0"/>
                <w:bCs w:val="0"/>
                <w:color w:val="auto"/>
                <w:sz w:val="18"/>
                <w:szCs w:val="18"/>
                <w:highlight w:val="none"/>
                <w:lang w:val="en-US" w:eastAsia="zh-CN"/>
              </w:rPr>
              <w:t>≥</w:t>
            </w:r>
            <w:r>
              <w:rPr>
                <w:rFonts w:hint="eastAsia" w:ascii="宋体" w:hAnsi="宋体" w:eastAsia="宋体" w:cs="宋体"/>
                <w:color w:val="auto"/>
                <w:kern w:val="0"/>
                <w:sz w:val="18"/>
                <w:szCs w:val="18"/>
                <w:highlight w:val="none"/>
                <w:lang w:val="en-US" w:eastAsia="zh-CN" w:bidi="ar"/>
              </w:rPr>
              <w:t>1.2mm；高级旋把门锁。承重</w:t>
            </w:r>
            <w:r>
              <w:rPr>
                <w:rFonts w:hint="eastAsia" w:ascii="宋体" w:hAnsi="宋体" w:eastAsia="宋体" w:cs="宋体"/>
                <w:b w:val="0"/>
                <w:bCs w:val="0"/>
                <w:color w:val="auto"/>
                <w:sz w:val="18"/>
                <w:szCs w:val="18"/>
                <w:highlight w:val="none"/>
                <w:lang w:val="en-US" w:eastAsia="zh-CN"/>
              </w:rPr>
              <w:t>≥</w:t>
            </w:r>
            <w:r>
              <w:rPr>
                <w:rFonts w:hint="eastAsia" w:ascii="宋体" w:hAnsi="宋体" w:eastAsia="宋体" w:cs="宋体"/>
                <w:color w:val="auto"/>
                <w:kern w:val="0"/>
                <w:sz w:val="18"/>
                <w:szCs w:val="18"/>
                <w:highlight w:val="none"/>
                <w:lang w:val="en-US" w:eastAsia="zh-CN" w:bidi="ar"/>
              </w:rPr>
              <w:t>800kg.整体机架，前后网孔门，机柜顶部四个全静音风扇，保证内部良好通风及散热，封闭式电缆管理，电缆从顶部或底部进入；侧门可拆卸。在前后门安装6个缓冲垫，有明显的提示标签，机柜带有独立防静电接地系统系统，安装立柱可调整，可提供机柜并柜件。</w:t>
            </w:r>
          </w:p>
          <w:p w14:paraId="1A0144F5">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2、配件：一个10A6位PDU电源，3个层板，4个风扇，40套M6卡扣安装螺丝，地脚螺钉4颗。</w:t>
            </w:r>
          </w:p>
          <w:p w14:paraId="6682E293">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0"/>
                <w:sz w:val="18"/>
                <w:szCs w:val="18"/>
                <w:highlight w:val="none"/>
                <w:lang w:val="en-US" w:eastAsia="zh-CN" w:bidi="ar"/>
              </w:rPr>
              <w:t>3、质量保障：制造商通过国际质量体系ISO9000、CE、ROHS等认证。</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702F1E52">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984" w:type="dxa"/>
            <w:tcBorders>
              <w:top w:val="single" w:color="000000" w:sz="4" w:space="0"/>
              <w:left w:val="single" w:color="000000" w:sz="4" w:space="0"/>
              <w:bottom w:val="single" w:color="000000" w:sz="4" w:space="0"/>
              <w:right w:val="single" w:color="000000" w:sz="4" w:space="0"/>
            </w:tcBorders>
            <w:noWrap/>
            <w:vAlign w:val="center"/>
          </w:tcPr>
          <w:p w14:paraId="25E70E99">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个</w:t>
            </w:r>
          </w:p>
        </w:tc>
        <w:tc>
          <w:tcPr>
            <w:tcW w:w="1943" w:type="dxa"/>
            <w:tcBorders>
              <w:top w:val="single" w:color="000000" w:sz="4" w:space="0"/>
              <w:left w:val="single" w:color="000000" w:sz="4" w:space="0"/>
              <w:bottom w:val="single" w:color="000000" w:sz="4" w:space="0"/>
              <w:right w:val="single" w:color="000000" w:sz="4" w:space="0"/>
            </w:tcBorders>
            <w:noWrap/>
            <w:vAlign w:val="center"/>
          </w:tcPr>
          <w:p w14:paraId="23159F66">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rPr>
            </w:pPr>
          </w:p>
        </w:tc>
      </w:tr>
      <w:tr w14:paraId="1644B4F5">
        <w:tblPrEx>
          <w:tblCellMar>
            <w:top w:w="0" w:type="dxa"/>
            <w:left w:w="108" w:type="dxa"/>
            <w:bottom w:w="0" w:type="dxa"/>
            <w:right w:w="108" w:type="dxa"/>
          </w:tblCellMar>
        </w:tblPrEx>
        <w:trPr>
          <w:trHeight w:val="499" w:hRule="atLeast"/>
          <w:jc w:val="center"/>
        </w:trPr>
        <w:tc>
          <w:tcPr>
            <w:tcW w:w="815" w:type="dxa"/>
            <w:tcBorders>
              <w:top w:val="single" w:color="000000" w:sz="4" w:space="0"/>
              <w:left w:val="single" w:color="000000" w:sz="4" w:space="0"/>
              <w:bottom w:val="single" w:color="000000" w:sz="4" w:space="0"/>
              <w:right w:val="single" w:color="000000" w:sz="4" w:space="0"/>
            </w:tcBorders>
            <w:noWrap/>
            <w:vAlign w:val="center"/>
          </w:tcPr>
          <w:p w14:paraId="550D9179">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268381CA">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电脑桌</w:t>
            </w:r>
          </w:p>
        </w:tc>
        <w:tc>
          <w:tcPr>
            <w:tcW w:w="7705" w:type="dxa"/>
            <w:tcBorders>
              <w:top w:val="single" w:color="000000" w:sz="4" w:space="0"/>
              <w:left w:val="single" w:color="000000" w:sz="4" w:space="0"/>
              <w:bottom w:val="single" w:color="000000" w:sz="4" w:space="0"/>
              <w:right w:val="single" w:color="000000" w:sz="4" w:space="0"/>
            </w:tcBorders>
            <w:noWrap w:val="0"/>
            <w:vAlign w:val="center"/>
          </w:tcPr>
          <w:p w14:paraId="3C623D4C">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1.钢木组合结构，桌面采用</w:t>
            </w:r>
            <w:r>
              <w:rPr>
                <w:rFonts w:hint="eastAsia" w:ascii="宋体" w:hAnsi="宋体" w:eastAsia="宋体" w:cs="宋体"/>
                <w:b w:val="0"/>
                <w:bCs w:val="0"/>
                <w:color w:val="auto"/>
                <w:sz w:val="18"/>
                <w:szCs w:val="18"/>
                <w:highlight w:val="none"/>
                <w:lang w:val="en-US" w:eastAsia="zh-CN"/>
              </w:rPr>
              <w:t>≥</w:t>
            </w:r>
            <w:r>
              <w:rPr>
                <w:rFonts w:hint="eastAsia" w:ascii="宋体" w:hAnsi="宋体" w:eastAsia="宋体" w:cs="宋体"/>
                <w:color w:val="auto"/>
                <w:sz w:val="18"/>
                <w:szCs w:val="18"/>
                <w:highlight w:val="none"/>
                <w:lang w:val="en-US" w:eastAsia="zh-CN"/>
              </w:rPr>
              <w:t>25mm厚压缩多层实木板外贴防火板，带穿线孔。</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2.钢材部分采用</w:t>
            </w:r>
            <w:r>
              <w:rPr>
                <w:rFonts w:hint="eastAsia" w:ascii="宋体" w:hAnsi="宋体" w:eastAsia="宋体" w:cs="宋体"/>
                <w:b w:val="0"/>
                <w:bCs w:val="0"/>
                <w:color w:val="auto"/>
                <w:sz w:val="18"/>
                <w:szCs w:val="18"/>
                <w:highlight w:val="none"/>
                <w:lang w:val="en-US" w:eastAsia="zh-CN"/>
              </w:rPr>
              <w:t>≥</w:t>
            </w:r>
            <w:r>
              <w:rPr>
                <w:rFonts w:hint="eastAsia" w:ascii="宋体" w:hAnsi="宋体" w:eastAsia="宋体" w:cs="宋体"/>
                <w:color w:val="auto"/>
                <w:sz w:val="18"/>
                <w:szCs w:val="18"/>
                <w:highlight w:val="none"/>
                <w:lang w:val="en-US" w:eastAsia="zh-CN"/>
              </w:rPr>
              <w:t>1.2mm扁钢管，经数控弯管机握弯成型m冷轧钢板制作并布局散热孔。</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3.所有基材均耐酸碱、防虫、防腐等特出处理。</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4.封边严密、平整、与整块板材严丝合缝。</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5.规格</w:t>
            </w:r>
            <w:r>
              <w:rPr>
                <w:rFonts w:hint="eastAsia" w:ascii="宋体" w:hAnsi="宋体" w:eastAsia="宋体" w:cs="宋体"/>
                <w:b w:val="0"/>
                <w:bCs w:val="0"/>
                <w:color w:val="auto"/>
                <w:sz w:val="18"/>
                <w:szCs w:val="18"/>
                <w:highlight w:val="none"/>
                <w:lang w:val="en-US" w:eastAsia="zh-CN"/>
              </w:rPr>
              <w:t>≥</w:t>
            </w:r>
            <w:r>
              <w:rPr>
                <w:rFonts w:hint="eastAsia" w:ascii="宋体" w:hAnsi="宋体" w:eastAsia="宋体" w:cs="宋体"/>
                <w:color w:val="auto"/>
                <w:sz w:val="18"/>
                <w:szCs w:val="18"/>
                <w:highlight w:val="none"/>
                <w:lang w:val="en-US" w:eastAsia="zh-CN"/>
              </w:rPr>
              <w:t>1400*550*750</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705C60CA">
            <w:pPr>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bidi="ar"/>
              </w:rPr>
              <w:t>30</w:t>
            </w:r>
          </w:p>
        </w:tc>
        <w:tc>
          <w:tcPr>
            <w:tcW w:w="984" w:type="dxa"/>
            <w:tcBorders>
              <w:top w:val="single" w:color="000000" w:sz="4" w:space="0"/>
              <w:left w:val="single" w:color="000000" w:sz="4" w:space="0"/>
              <w:bottom w:val="single" w:color="000000" w:sz="4" w:space="0"/>
              <w:right w:val="single" w:color="000000" w:sz="4" w:space="0"/>
            </w:tcBorders>
            <w:noWrap/>
            <w:vAlign w:val="center"/>
          </w:tcPr>
          <w:p w14:paraId="504484C6">
            <w:pPr>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bidi="ar"/>
              </w:rPr>
              <w:t>张</w:t>
            </w:r>
          </w:p>
        </w:tc>
        <w:tc>
          <w:tcPr>
            <w:tcW w:w="1943" w:type="dxa"/>
            <w:tcBorders>
              <w:top w:val="single" w:color="000000" w:sz="4" w:space="0"/>
              <w:left w:val="single" w:color="000000" w:sz="4" w:space="0"/>
              <w:bottom w:val="single" w:color="000000" w:sz="4" w:space="0"/>
              <w:right w:val="single" w:color="000000" w:sz="4" w:space="0"/>
            </w:tcBorders>
            <w:noWrap/>
            <w:vAlign w:val="center"/>
          </w:tcPr>
          <w:p w14:paraId="19827F03">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highlight w:val="none"/>
              </w:rPr>
              <w:drawing>
                <wp:anchor distT="0" distB="0" distL="114300" distR="114300" simplePos="0" relativeHeight="251670528" behindDoc="0" locked="0" layoutInCell="1" allowOverlap="1">
                  <wp:simplePos x="0" y="0"/>
                  <wp:positionH relativeFrom="column">
                    <wp:posOffset>-10795</wp:posOffset>
                  </wp:positionH>
                  <wp:positionV relativeFrom="paragraph">
                    <wp:posOffset>120015</wp:posOffset>
                  </wp:positionV>
                  <wp:extent cx="1179830" cy="1139825"/>
                  <wp:effectExtent l="0" t="0" r="1270" b="3175"/>
                  <wp:wrapSquare wrapText="bothSides"/>
                  <wp:docPr id="5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2"/>
                          <pic:cNvPicPr>
                            <a:picLocks noChangeAspect="1"/>
                          </pic:cNvPicPr>
                        </pic:nvPicPr>
                        <pic:blipFill>
                          <a:blip r:embed="rId41"/>
                          <a:stretch>
                            <a:fillRect/>
                          </a:stretch>
                        </pic:blipFill>
                        <pic:spPr>
                          <a:xfrm>
                            <a:off x="0" y="0"/>
                            <a:ext cx="1179830" cy="1139825"/>
                          </a:xfrm>
                          <a:prstGeom prst="rect">
                            <a:avLst/>
                          </a:prstGeom>
                          <a:noFill/>
                          <a:ln>
                            <a:noFill/>
                          </a:ln>
                        </pic:spPr>
                      </pic:pic>
                    </a:graphicData>
                  </a:graphic>
                </wp:anchor>
              </w:drawing>
            </w:r>
          </w:p>
        </w:tc>
      </w:tr>
      <w:tr w14:paraId="567D5472">
        <w:tblPrEx>
          <w:tblCellMar>
            <w:top w:w="0" w:type="dxa"/>
            <w:left w:w="108" w:type="dxa"/>
            <w:bottom w:w="0" w:type="dxa"/>
            <w:right w:w="108" w:type="dxa"/>
          </w:tblCellMar>
        </w:tblPrEx>
        <w:trPr>
          <w:trHeight w:val="499" w:hRule="atLeast"/>
          <w:jc w:val="center"/>
        </w:trPr>
        <w:tc>
          <w:tcPr>
            <w:tcW w:w="815" w:type="dxa"/>
            <w:tcBorders>
              <w:top w:val="single" w:color="000000" w:sz="4" w:space="0"/>
              <w:left w:val="single" w:color="000000" w:sz="4" w:space="0"/>
              <w:bottom w:val="single" w:color="000000" w:sz="4" w:space="0"/>
              <w:right w:val="single" w:color="000000" w:sz="4" w:space="0"/>
            </w:tcBorders>
            <w:noWrap/>
            <w:vAlign w:val="center"/>
          </w:tcPr>
          <w:p w14:paraId="408D58F6">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5</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3747FB8B">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电脑椅</w:t>
            </w:r>
          </w:p>
        </w:tc>
        <w:tc>
          <w:tcPr>
            <w:tcW w:w="7705" w:type="dxa"/>
            <w:tcBorders>
              <w:top w:val="single" w:color="000000" w:sz="4" w:space="0"/>
              <w:left w:val="single" w:color="000000" w:sz="4" w:space="0"/>
              <w:bottom w:val="single" w:color="000000" w:sz="4" w:space="0"/>
              <w:right w:val="single" w:color="000000" w:sz="4" w:space="0"/>
            </w:tcBorders>
            <w:noWrap w:val="0"/>
            <w:vAlign w:val="center"/>
          </w:tcPr>
          <w:p w14:paraId="3DB45EEB">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1.钢木组合结构，桌面采用</w:t>
            </w:r>
            <w:r>
              <w:rPr>
                <w:rFonts w:hint="eastAsia" w:ascii="宋体" w:hAnsi="宋体" w:eastAsia="宋体" w:cs="宋体"/>
                <w:b w:val="0"/>
                <w:bCs w:val="0"/>
                <w:color w:val="auto"/>
                <w:sz w:val="18"/>
                <w:szCs w:val="18"/>
                <w:highlight w:val="none"/>
                <w:lang w:val="en-US" w:eastAsia="zh-CN"/>
              </w:rPr>
              <w:t>≥</w:t>
            </w:r>
            <w:r>
              <w:rPr>
                <w:rFonts w:hint="eastAsia" w:ascii="宋体" w:hAnsi="宋体" w:eastAsia="宋体" w:cs="宋体"/>
                <w:color w:val="auto"/>
                <w:sz w:val="18"/>
                <w:szCs w:val="18"/>
                <w:highlight w:val="none"/>
                <w:lang w:val="en-US" w:eastAsia="zh-CN"/>
              </w:rPr>
              <w:t>25mm厚压缩多层实木板外贴防火板，带穿线孔。</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2.钢材部分采用</w:t>
            </w:r>
            <w:r>
              <w:rPr>
                <w:rFonts w:hint="eastAsia" w:ascii="宋体" w:hAnsi="宋体" w:eastAsia="宋体" w:cs="宋体"/>
                <w:b w:val="0"/>
                <w:bCs w:val="0"/>
                <w:color w:val="auto"/>
                <w:sz w:val="18"/>
                <w:szCs w:val="18"/>
                <w:highlight w:val="none"/>
                <w:lang w:val="en-US" w:eastAsia="zh-CN"/>
              </w:rPr>
              <w:t>≥</w:t>
            </w:r>
            <w:r>
              <w:rPr>
                <w:rFonts w:hint="eastAsia" w:ascii="宋体" w:hAnsi="宋体" w:eastAsia="宋体" w:cs="宋体"/>
                <w:color w:val="auto"/>
                <w:sz w:val="18"/>
                <w:szCs w:val="18"/>
                <w:highlight w:val="none"/>
                <w:lang w:val="en-US" w:eastAsia="zh-CN"/>
              </w:rPr>
              <w:t>1.2mm扁钢管，经数控弯管机握弯成型m冷轧钢板制作并布局散热孔。</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3.所有基材均耐酸碱、防虫、防腐等特出处理。</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4.封边严密、平整、与整块板材严丝合缝。</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5.规格：</w:t>
            </w:r>
            <w:r>
              <w:rPr>
                <w:rFonts w:hint="eastAsia" w:ascii="宋体" w:hAnsi="宋体" w:eastAsia="宋体" w:cs="宋体"/>
                <w:b w:val="0"/>
                <w:bCs w:val="0"/>
                <w:color w:val="auto"/>
                <w:sz w:val="18"/>
                <w:szCs w:val="18"/>
                <w:highlight w:val="none"/>
                <w:lang w:val="en-US" w:eastAsia="zh-CN"/>
              </w:rPr>
              <w:t>≥</w:t>
            </w:r>
            <w:r>
              <w:rPr>
                <w:rFonts w:hint="eastAsia" w:ascii="宋体" w:hAnsi="宋体" w:eastAsia="宋体" w:cs="宋体"/>
                <w:color w:val="auto"/>
                <w:sz w:val="18"/>
                <w:szCs w:val="18"/>
                <w:highlight w:val="none"/>
                <w:lang w:val="en-US" w:eastAsia="zh-CN"/>
              </w:rPr>
              <w:t>340*240*450</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338975E5">
            <w:pPr>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bidi="ar"/>
              </w:rPr>
              <w:t>60</w:t>
            </w:r>
          </w:p>
        </w:tc>
        <w:tc>
          <w:tcPr>
            <w:tcW w:w="984" w:type="dxa"/>
            <w:tcBorders>
              <w:top w:val="single" w:color="000000" w:sz="4" w:space="0"/>
              <w:left w:val="single" w:color="000000" w:sz="4" w:space="0"/>
              <w:bottom w:val="single" w:color="000000" w:sz="4" w:space="0"/>
              <w:right w:val="single" w:color="000000" w:sz="4" w:space="0"/>
            </w:tcBorders>
            <w:noWrap/>
            <w:vAlign w:val="center"/>
          </w:tcPr>
          <w:p w14:paraId="7102FFA3">
            <w:pPr>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bidi="ar"/>
              </w:rPr>
              <w:t>张</w:t>
            </w:r>
          </w:p>
        </w:tc>
        <w:tc>
          <w:tcPr>
            <w:tcW w:w="1943" w:type="dxa"/>
            <w:tcBorders>
              <w:top w:val="single" w:color="000000" w:sz="4" w:space="0"/>
              <w:left w:val="single" w:color="000000" w:sz="4" w:space="0"/>
              <w:bottom w:val="single" w:color="000000" w:sz="4" w:space="0"/>
              <w:right w:val="single" w:color="000000" w:sz="4" w:space="0"/>
            </w:tcBorders>
            <w:noWrap/>
            <w:vAlign w:val="center"/>
          </w:tcPr>
          <w:p w14:paraId="2DA3DFD5">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rPr>
            </w:pPr>
          </w:p>
        </w:tc>
      </w:tr>
      <w:tr w14:paraId="1346223E">
        <w:tblPrEx>
          <w:tblCellMar>
            <w:top w:w="0" w:type="dxa"/>
            <w:left w:w="108" w:type="dxa"/>
            <w:bottom w:w="0" w:type="dxa"/>
            <w:right w:w="108" w:type="dxa"/>
          </w:tblCellMar>
        </w:tblPrEx>
        <w:trPr>
          <w:trHeight w:val="499" w:hRule="atLeast"/>
          <w:jc w:val="center"/>
        </w:trPr>
        <w:tc>
          <w:tcPr>
            <w:tcW w:w="815" w:type="dxa"/>
            <w:tcBorders>
              <w:top w:val="single" w:color="000000" w:sz="4" w:space="0"/>
              <w:left w:val="single" w:color="000000" w:sz="4" w:space="0"/>
              <w:bottom w:val="single" w:color="000000" w:sz="4" w:space="0"/>
              <w:right w:val="single" w:color="000000" w:sz="4" w:space="0"/>
            </w:tcBorders>
            <w:noWrap/>
            <w:vAlign w:val="center"/>
          </w:tcPr>
          <w:p w14:paraId="5766D7BD">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0EA216CD">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静电地板</w:t>
            </w:r>
          </w:p>
        </w:tc>
        <w:tc>
          <w:tcPr>
            <w:tcW w:w="7705" w:type="dxa"/>
            <w:tcBorders>
              <w:top w:val="single" w:color="000000" w:sz="4" w:space="0"/>
              <w:left w:val="single" w:color="000000" w:sz="4" w:space="0"/>
              <w:bottom w:val="single" w:color="000000" w:sz="4" w:space="0"/>
              <w:right w:val="single" w:color="000000" w:sz="4" w:space="0"/>
            </w:tcBorders>
            <w:noWrap w:val="0"/>
            <w:vAlign w:val="center"/>
          </w:tcPr>
          <w:p w14:paraId="68B38228">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1.陶瓷小兰花 600*600*45</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2.集中载荷=2950N时挠度：1.21mm、永久变形：0.2mm</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3.均布载荷</w:t>
            </w:r>
            <w:r>
              <w:rPr>
                <w:rFonts w:hint="eastAsia" w:ascii="宋体" w:hAnsi="宋体" w:eastAsia="宋体" w:cs="宋体"/>
                <w:b w:val="0"/>
                <w:bCs w:val="0"/>
                <w:color w:val="auto"/>
                <w:sz w:val="18"/>
                <w:szCs w:val="18"/>
                <w:highlight w:val="none"/>
                <w:lang w:val="en-US" w:eastAsia="zh-CN"/>
              </w:rPr>
              <w:t>≥</w:t>
            </w:r>
            <w:r>
              <w:rPr>
                <w:rFonts w:hint="eastAsia" w:ascii="宋体" w:hAnsi="宋体" w:eastAsia="宋体" w:cs="宋体"/>
                <w:color w:val="auto"/>
                <w:sz w:val="18"/>
                <w:szCs w:val="18"/>
                <w:highlight w:val="none"/>
                <w:lang w:val="en-US" w:eastAsia="zh-CN"/>
              </w:rPr>
              <w:t>12500N/㎡ 挠度：0.88mm</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4.极限集中载荷</w:t>
            </w:r>
            <w:r>
              <w:rPr>
                <w:rFonts w:hint="eastAsia" w:ascii="宋体" w:hAnsi="宋体" w:eastAsia="宋体" w:cs="宋体"/>
                <w:b w:val="0"/>
                <w:bCs w:val="0"/>
                <w:color w:val="auto"/>
                <w:sz w:val="18"/>
                <w:szCs w:val="18"/>
                <w:highlight w:val="none"/>
                <w:lang w:val="en-US" w:eastAsia="zh-CN"/>
              </w:rPr>
              <w:t>≥</w:t>
            </w:r>
            <w:r>
              <w:rPr>
                <w:rFonts w:hint="eastAsia" w:ascii="宋体" w:hAnsi="宋体" w:eastAsia="宋体" w:cs="宋体"/>
                <w:color w:val="auto"/>
                <w:sz w:val="18"/>
                <w:szCs w:val="18"/>
                <w:highlight w:val="none"/>
                <w:lang w:val="en-US" w:eastAsia="zh-CN"/>
              </w:rPr>
              <w:t>13580N</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6E33ABB9">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95</w:t>
            </w:r>
          </w:p>
        </w:tc>
        <w:tc>
          <w:tcPr>
            <w:tcW w:w="984" w:type="dxa"/>
            <w:tcBorders>
              <w:top w:val="single" w:color="000000" w:sz="4" w:space="0"/>
              <w:left w:val="single" w:color="000000" w:sz="4" w:space="0"/>
              <w:bottom w:val="single" w:color="000000" w:sz="4" w:space="0"/>
              <w:right w:val="single" w:color="000000" w:sz="4" w:space="0"/>
            </w:tcBorders>
            <w:noWrap/>
            <w:vAlign w:val="center"/>
          </w:tcPr>
          <w:p w14:paraId="2E51C8BB">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w:t>
            </w:r>
          </w:p>
        </w:tc>
        <w:tc>
          <w:tcPr>
            <w:tcW w:w="1943" w:type="dxa"/>
            <w:tcBorders>
              <w:top w:val="single" w:color="000000" w:sz="4" w:space="0"/>
              <w:left w:val="single" w:color="000000" w:sz="4" w:space="0"/>
              <w:bottom w:val="single" w:color="000000" w:sz="4" w:space="0"/>
              <w:right w:val="single" w:color="000000" w:sz="4" w:space="0"/>
            </w:tcBorders>
            <w:noWrap/>
            <w:vAlign w:val="center"/>
          </w:tcPr>
          <w:p w14:paraId="21E1F853">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rPr>
            </w:pPr>
          </w:p>
        </w:tc>
      </w:tr>
      <w:tr w14:paraId="30D21165">
        <w:tblPrEx>
          <w:tblCellMar>
            <w:top w:w="0" w:type="dxa"/>
            <w:left w:w="108" w:type="dxa"/>
            <w:bottom w:w="0" w:type="dxa"/>
            <w:right w:w="108" w:type="dxa"/>
          </w:tblCellMar>
        </w:tblPrEx>
        <w:trPr>
          <w:trHeight w:val="667" w:hRule="atLeast"/>
          <w:jc w:val="center"/>
        </w:trPr>
        <w:tc>
          <w:tcPr>
            <w:tcW w:w="14542" w:type="dxa"/>
            <w:gridSpan w:val="6"/>
            <w:tcBorders>
              <w:top w:val="single" w:color="000000" w:sz="4" w:space="0"/>
              <w:left w:val="single" w:color="000000" w:sz="4" w:space="0"/>
              <w:bottom w:val="single" w:color="000000" w:sz="4" w:space="0"/>
              <w:right w:val="single" w:color="000000" w:sz="4" w:space="0"/>
            </w:tcBorders>
            <w:noWrap/>
            <w:vAlign w:val="center"/>
          </w:tcPr>
          <w:p w14:paraId="3CF99FBE">
            <w:pPr>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b/>
                <w:bCs/>
                <w:color w:val="auto"/>
                <w:sz w:val="21"/>
                <w:szCs w:val="21"/>
                <w:highlight w:val="none"/>
                <w:lang w:val="en-US" w:eastAsia="zh-CN" w:bidi="ar"/>
              </w:rPr>
              <w:t>二、大数据学院1501与3507实训室改建</w:t>
            </w:r>
          </w:p>
        </w:tc>
      </w:tr>
      <w:tr w14:paraId="3227C9B2">
        <w:tblPrEx>
          <w:tblCellMar>
            <w:top w:w="0" w:type="dxa"/>
            <w:left w:w="108" w:type="dxa"/>
            <w:bottom w:w="0" w:type="dxa"/>
            <w:right w:w="108" w:type="dxa"/>
          </w:tblCellMar>
        </w:tblPrEx>
        <w:trPr>
          <w:trHeight w:val="522" w:hRule="atLeast"/>
          <w:jc w:val="center"/>
        </w:trPr>
        <w:tc>
          <w:tcPr>
            <w:tcW w:w="815" w:type="dxa"/>
            <w:tcBorders>
              <w:top w:val="single" w:color="000000" w:sz="4" w:space="0"/>
              <w:left w:val="single" w:color="000000" w:sz="4" w:space="0"/>
              <w:bottom w:val="single" w:color="000000" w:sz="4" w:space="0"/>
              <w:right w:val="single" w:color="000000" w:sz="4" w:space="0"/>
            </w:tcBorders>
            <w:noWrap/>
            <w:vAlign w:val="center"/>
          </w:tcPr>
          <w:p w14:paraId="779116E2">
            <w:pPr>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bidi="ar"/>
              </w:rPr>
              <w:t>序号</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21B4BC64">
            <w:pPr>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bidi="ar"/>
              </w:rPr>
              <w:t>产品名称</w:t>
            </w:r>
          </w:p>
        </w:tc>
        <w:tc>
          <w:tcPr>
            <w:tcW w:w="7705" w:type="dxa"/>
            <w:tcBorders>
              <w:top w:val="single" w:color="000000" w:sz="4" w:space="0"/>
              <w:left w:val="single" w:color="000000" w:sz="4" w:space="0"/>
              <w:bottom w:val="single" w:color="000000" w:sz="4" w:space="0"/>
              <w:right w:val="single" w:color="000000" w:sz="4" w:space="0"/>
            </w:tcBorders>
            <w:noWrap w:val="0"/>
            <w:vAlign w:val="center"/>
          </w:tcPr>
          <w:p w14:paraId="03DDEE1C">
            <w:pPr>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bidi="ar"/>
              </w:rPr>
              <w:t>参数</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1D7C84CA">
            <w:pPr>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bidi="ar"/>
              </w:rPr>
              <w:t>数量</w:t>
            </w:r>
          </w:p>
        </w:tc>
        <w:tc>
          <w:tcPr>
            <w:tcW w:w="984" w:type="dxa"/>
            <w:tcBorders>
              <w:top w:val="single" w:color="000000" w:sz="4" w:space="0"/>
              <w:left w:val="single" w:color="000000" w:sz="4" w:space="0"/>
              <w:bottom w:val="single" w:color="000000" w:sz="4" w:space="0"/>
              <w:right w:val="single" w:color="000000" w:sz="4" w:space="0"/>
            </w:tcBorders>
            <w:noWrap/>
            <w:vAlign w:val="center"/>
          </w:tcPr>
          <w:p w14:paraId="267E8230">
            <w:pPr>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bidi="ar"/>
              </w:rPr>
              <w:t>单位</w:t>
            </w:r>
          </w:p>
        </w:tc>
        <w:tc>
          <w:tcPr>
            <w:tcW w:w="1943" w:type="dxa"/>
            <w:tcBorders>
              <w:top w:val="single" w:color="000000" w:sz="4" w:space="0"/>
              <w:left w:val="single" w:color="000000" w:sz="4" w:space="0"/>
              <w:bottom w:val="single" w:color="000000" w:sz="4" w:space="0"/>
              <w:right w:val="single" w:color="000000" w:sz="4" w:space="0"/>
            </w:tcBorders>
            <w:noWrap w:val="0"/>
            <w:vAlign w:val="center"/>
          </w:tcPr>
          <w:p w14:paraId="4F733A1A">
            <w:pPr>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bidi="ar"/>
              </w:rPr>
              <w:t>备注</w:t>
            </w:r>
          </w:p>
        </w:tc>
      </w:tr>
      <w:tr w14:paraId="66297CEE">
        <w:tblPrEx>
          <w:tblCellMar>
            <w:top w:w="0" w:type="dxa"/>
            <w:left w:w="108" w:type="dxa"/>
            <w:bottom w:w="0" w:type="dxa"/>
            <w:right w:w="108" w:type="dxa"/>
          </w:tblCellMar>
        </w:tblPrEx>
        <w:trPr>
          <w:trHeight w:val="522" w:hRule="atLeast"/>
          <w:jc w:val="center"/>
        </w:trPr>
        <w:tc>
          <w:tcPr>
            <w:tcW w:w="14542" w:type="dxa"/>
            <w:gridSpan w:val="6"/>
            <w:tcBorders>
              <w:top w:val="single" w:color="000000" w:sz="4" w:space="0"/>
              <w:left w:val="single" w:color="000000" w:sz="4" w:space="0"/>
              <w:bottom w:val="single" w:color="000000" w:sz="4" w:space="0"/>
              <w:right w:val="single" w:color="000000" w:sz="4" w:space="0"/>
            </w:tcBorders>
            <w:noWrap/>
            <w:vAlign w:val="center"/>
          </w:tcPr>
          <w:p w14:paraId="046158E7">
            <w:pPr>
              <w:jc w:val="both"/>
              <w:textAlignment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21"/>
                <w:szCs w:val="21"/>
                <w:highlight w:val="none"/>
                <w:lang w:eastAsia="zh-CN" w:bidi="ar"/>
              </w:rPr>
              <w:t>（</w:t>
            </w:r>
            <w:r>
              <w:rPr>
                <w:rFonts w:hint="eastAsia" w:ascii="宋体" w:hAnsi="宋体" w:eastAsia="宋体" w:cs="宋体"/>
                <w:b/>
                <w:bCs/>
                <w:color w:val="auto"/>
                <w:sz w:val="21"/>
                <w:szCs w:val="21"/>
                <w:highlight w:val="none"/>
                <w:lang w:val="en-US" w:eastAsia="zh-CN" w:bidi="ar"/>
              </w:rPr>
              <w:t>一</w:t>
            </w:r>
            <w:r>
              <w:rPr>
                <w:rFonts w:hint="eastAsia" w:ascii="宋体" w:hAnsi="宋体" w:eastAsia="宋体" w:cs="宋体"/>
                <w:b/>
                <w:bCs/>
                <w:color w:val="auto"/>
                <w:sz w:val="21"/>
                <w:szCs w:val="21"/>
                <w:highlight w:val="none"/>
                <w:lang w:eastAsia="zh-CN" w:bidi="ar"/>
              </w:rPr>
              <w:t>）</w:t>
            </w:r>
            <w:r>
              <w:rPr>
                <w:rFonts w:hint="eastAsia" w:ascii="宋体" w:hAnsi="宋体" w:eastAsia="宋体" w:cs="宋体"/>
                <w:b/>
                <w:bCs/>
                <w:color w:val="auto"/>
                <w:sz w:val="21"/>
                <w:szCs w:val="21"/>
                <w:highlight w:val="none"/>
                <w:lang w:bidi="ar"/>
              </w:rPr>
              <w:t>专业资源制作实训室设备清单</w:t>
            </w:r>
          </w:p>
        </w:tc>
      </w:tr>
      <w:tr w14:paraId="31B988B3">
        <w:tblPrEx>
          <w:tblCellMar>
            <w:top w:w="0" w:type="dxa"/>
            <w:left w:w="108" w:type="dxa"/>
            <w:bottom w:w="0" w:type="dxa"/>
            <w:right w:w="108" w:type="dxa"/>
          </w:tblCellMar>
        </w:tblPrEx>
        <w:trPr>
          <w:trHeight w:val="499" w:hRule="atLeast"/>
          <w:jc w:val="center"/>
        </w:trPr>
        <w:tc>
          <w:tcPr>
            <w:tcW w:w="815" w:type="dxa"/>
            <w:tcBorders>
              <w:top w:val="single" w:color="000000" w:sz="4" w:space="0"/>
              <w:left w:val="single" w:color="000000" w:sz="4" w:space="0"/>
              <w:bottom w:val="single" w:color="000000" w:sz="4" w:space="0"/>
              <w:right w:val="single" w:color="000000" w:sz="4" w:space="0"/>
            </w:tcBorders>
            <w:noWrap/>
            <w:vAlign w:val="center"/>
          </w:tcPr>
          <w:p w14:paraId="277DD7FC">
            <w:pPr>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1</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09745CC9">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台式电脑</w:t>
            </w:r>
          </w:p>
        </w:tc>
        <w:tc>
          <w:tcPr>
            <w:tcW w:w="7705" w:type="dxa"/>
            <w:tcBorders>
              <w:top w:val="single" w:color="000000" w:sz="4" w:space="0"/>
              <w:left w:val="single" w:color="000000" w:sz="4" w:space="0"/>
              <w:bottom w:val="single" w:color="000000" w:sz="4" w:space="0"/>
              <w:right w:val="single" w:color="000000" w:sz="4" w:space="0"/>
            </w:tcBorders>
            <w:noWrap w:val="0"/>
            <w:vAlign w:val="center"/>
          </w:tcPr>
          <w:p w14:paraId="12BAECE4">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1、CPU Intel 酷睿i5十二代或以上，主频≥2.5GHz或以上，六核十二线程，三级缓存≥18MB；</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2、主板 ≥Intel B660M芯片组， MATX 主板，插槽2*PCI-E 1X，1*PCI-E 16X ，2*M.2， 1*COM插针；</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3、内存 ≥32GB DDR4 3200，内存插槽数≥2，最大支持64GB；</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4、硬盘 ≥512G SSD NVME；</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 xml:space="preserve">5、显卡 ≥集成显卡 </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6、网卡：板载千兆网卡；</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7、声卡：集成</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8、IO接口 前置：USB3.0接口≥2，USB2.0接口≥2，麦克风接口≥1，耳机接口≥1</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9、后置：USB3.2接口≥4，USB2.0接口≥2， PS/2接口≥1，RJ45网络接口≥1，音频接口≥1组， HDMI接口≥1，VGA接口≥1；</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10、电源 ≥500W多路电源  输出插头≥4；</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11、机箱：立式机箱≥24L，机箱上部有提手，免工具开启机箱面板，前置I/O，前置电源开关和重启键，机箱后部预留有机箱安全锁位孔。机箱前面板预留标准光驱位和软驱位，便于后续扩展。</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12、键盘鼠标：光电鼠标键盘，通过抗菌测试。</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 xml:space="preserve">13、显示器 </w:t>
            </w:r>
            <w:r>
              <w:rPr>
                <w:rFonts w:hint="eastAsia" w:ascii="宋体" w:hAnsi="宋体" w:eastAsia="宋体" w:cs="宋体"/>
                <w:b w:val="0"/>
                <w:bCs w:val="0"/>
                <w:color w:val="auto"/>
                <w:sz w:val="18"/>
                <w:szCs w:val="18"/>
                <w:highlight w:val="none"/>
                <w:lang w:val="en-US" w:eastAsia="zh-CN"/>
              </w:rPr>
              <w:t>≥23英寸LED显示器，</w:t>
            </w:r>
            <w:r>
              <w:rPr>
                <w:rFonts w:hint="eastAsia" w:ascii="宋体" w:hAnsi="宋体" w:eastAsia="宋体" w:cs="宋体"/>
                <w:color w:val="auto"/>
                <w:sz w:val="18"/>
                <w:szCs w:val="18"/>
                <w:highlight w:val="none"/>
                <w:lang w:val="en-US" w:eastAsia="zh-CN"/>
              </w:rPr>
              <w:t>分辨率≥2560 x 1440，响应时间5ms，具备VGA+HDMI视频接口，支持壁挂；</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14、操作系统 预装WIN10 Pro 或优于WIN10 Pro操作系统</w:t>
            </w:r>
          </w:p>
          <w:p w14:paraId="52EFD38A">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15、保修：整机提供两年质保及免费上门服务。</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5D32CF5A">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120</w:t>
            </w:r>
          </w:p>
        </w:tc>
        <w:tc>
          <w:tcPr>
            <w:tcW w:w="984" w:type="dxa"/>
            <w:tcBorders>
              <w:top w:val="single" w:color="000000" w:sz="4" w:space="0"/>
              <w:left w:val="single" w:color="000000" w:sz="4" w:space="0"/>
              <w:bottom w:val="single" w:color="000000" w:sz="4" w:space="0"/>
              <w:right w:val="single" w:color="000000" w:sz="4" w:space="0"/>
            </w:tcBorders>
            <w:noWrap/>
            <w:vAlign w:val="center"/>
          </w:tcPr>
          <w:p w14:paraId="0B79ACAC">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台</w:t>
            </w:r>
          </w:p>
        </w:tc>
        <w:tc>
          <w:tcPr>
            <w:tcW w:w="1943" w:type="dxa"/>
            <w:tcBorders>
              <w:top w:val="single" w:color="000000" w:sz="4" w:space="0"/>
              <w:left w:val="single" w:color="000000" w:sz="4" w:space="0"/>
              <w:bottom w:val="single" w:color="000000" w:sz="4" w:space="0"/>
              <w:right w:val="single" w:color="000000" w:sz="4" w:space="0"/>
            </w:tcBorders>
            <w:noWrap w:val="0"/>
            <w:vAlign w:val="center"/>
          </w:tcPr>
          <w:p w14:paraId="06B98F8A">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color w:val="auto"/>
                <w:sz w:val="18"/>
                <w:szCs w:val="18"/>
                <w:highlight w:val="none"/>
              </w:rPr>
            </w:pPr>
          </w:p>
        </w:tc>
      </w:tr>
      <w:tr w14:paraId="5FA176C9">
        <w:tblPrEx>
          <w:tblCellMar>
            <w:top w:w="0" w:type="dxa"/>
            <w:left w:w="108" w:type="dxa"/>
            <w:bottom w:w="0" w:type="dxa"/>
            <w:right w:w="108" w:type="dxa"/>
          </w:tblCellMar>
        </w:tblPrEx>
        <w:trPr>
          <w:trHeight w:val="499" w:hRule="atLeast"/>
          <w:jc w:val="center"/>
        </w:trPr>
        <w:tc>
          <w:tcPr>
            <w:tcW w:w="815" w:type="dxa"/>
            <w:tcBorders>
              <w:top w:val="single" w:color="000000" w:sz="4" w:space="0"/>
              <w:left w:val="single" w:color="000000" w:sz="4" w:space="0"/>
              <w:bottom w:val="single" w:color="000000" w:sz="4" w:space="0"/>
              <w:right w:val="single" w:color="000000" w:sz="4" w:space="0"/>
            </w:tcBorders>
            <w:noWrap/>
            <w:vAlign w:val="center"/>
          </w:tcPr>
          <w:p w14:paraId="093FB59E">
            <w:pPr>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473DE540">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正版同传还原软件</w:t>
            </w:r>
          </w:p>
        </w:tc>
        <w:tc>
          <w:tcPr>
            <w:tcW w:w="7705" w:type="dxa"/>
            <w:tcBorders>
              <w:top w:val="single" w:color="000000" w:sz="4" w:space="0"/>
              <w:left w:val="single" w:color="000000" w:sz="4" w:space="0"/>
              <w:bottom w:val="single" w:color="000000" w:sz="4" w:space="0"/>
              <w:right w:val="single" w:color="000000" w:sz="4" w:space="0"/>
            </w:tcBorders>
            <w:noWrap w:val="0"/>
            <w:vAlign w:val="center"/>
          </w:tcPr>
          <w:p w14:paraId="2CA0A097">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网络同传 出厂预装硬盘版网络同传软件，</w:t>
            </w:r>
          </w:p>
          <w:p w14:paraId="255D8D1B">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1、</w:t>
            </w:r>
            <w:r>
              <w:rPr>
                <w:rFonts w:hint="eastAsia" w:ascii="宋体" w:hAnsi="宋体" w:eastAsia="宋体" w:cs="宋体"/>
                <w:color w:val="auto"/>
                <w:sz w:val="18"/>
                <w:szCs w:val="18"/>
                <w:highlight w:val="none"/>
                <w:lang w:val="en-US" w:eastAsia="zh-CN"/>
              </w:rPr>
              <w:t>保护/恢复数据：可对单分区、多分区经行快速保护和快速恢复数据。并且隐藏启动界面，隐藏操作员界面，隐藏恢复进度条。</w:t>
            </w:r>
          </w:p>
          <w:p w14:paraId="340B4A9C">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2、</w:t>
            </w:r>
            <w:r>
              <w:rPr>
                <w:rFonts w:hint="eastAsia" w:ascii="宋体" w:hAnsi="宋体" w:eastAsia="宋体" w:cs="宋体"/>
                <w:color w:val="auto"/>
                <w:sz w:val="18"/>
                <w:szCs w:val="18"/>
                <w:highlight w:val="none"/>
                <w:lang w:val="en-US" w:eastAsia="zh-CN"/>
              </w:rPr>
              <w:t>智能同传：安装部署方便，支持传统BIOS主板及UEFI主板；支持XP、Windows7 32/64、Windows8 32/64、Windows10 32/64、Windows11等操作系统；</w:t>
            </w:r>
          </w:p>
          <w:p w14:paraId="5F8D3184">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3、</w:t>
            </w:r>
            <w:r>
              <w:rPr>
                <w:rFonts w:hint="eastAsia" w:ascii="宋体" w:hAnsi="宋体" w:eastAsia="宋体" w:cs="宋体"/>
                <w:color w:val="auto"/>
                <w:sz w:val="18"/>
                <w:szCs w:val="18"/>
                <w:highlight w:val="none"/>
                <w:lang w:val="en-US" w:eastAsia="zh-CN"/>
              </w:rPr>
              <w:t>网络对拷：支持PXE网卡引导，需同传的机子不管有没有系统都可进行快速部署。即使接收端硬盘状态不一，也能“增量对拷”，并智能化计算后传送最少数据量。</w:t>
            </w:r>
          </w:p>
          <w:p w14:paraId="1562D0F9">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4、</w:t>
            </w:r>
            <w:r>
              <w:rPr>
                <w:rFonts w:hint="eastAsia" w:ascii="宋体" w:hAnsi="宋体" w:eastAsia="宋体" w:cs="宋体"/>
                <w:color w:val="auto"/>
                <w:sz w:val="18"/>
                <w:szCs w:val="18"/>
                <w:highlight w:val="none"/>
                <w:lang w:val="en-US" w:eastAsia="zh-CN"/>
              </w:rPr>
              <w:t>本地硬盘复制:同时支持本地1对3块硬盘复制，可以一对三进行硬盘对拷完，方便少数故障机快速恢复正常状态。系统克隆：在同一块硬盘上可以同时复制多个相同的操作系统到其他分区。可以在一块硬盘上克隆多个系统，快速部署，满足不同场景下的教学环境需求。</w:t>
            </w:r>
          </w:p>
          <w:p w14:paraId="07025AA9">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5、</w:t>
            </w:r>
            <w:r>
              <w:rPr>
                <w:rFonts w:hint="eastAsia" w:ascii="宋体" w:hAnsi="宋体" w:eastAsia="宋体" w:cs="宋体"/>
                <w:color w:val="auto"/>
                <w:sz w:val="18"/>
                <w:szCs w:val="18"/>
                <w:highlight w:val="none"/>
                <w:lang w:val="en-US" w:eastAsia="zh-CN"/>
              </w:rPr>
              <w:t>远程锁定：管理端可远程锁定客户端的鼠标、键盘或屏幕。</w:t>
            </w:r>
            <w:r>
              <w:rPr>
                <w:rFonts w:hint="eastAsia" w:ascii="宋体" w:hAnsi="宋体" w:eastAsia="宋体" w:cs="宋体"/>
                <w:color w:val="auto"/>
                <w:sz w:val="18"/>
                <w:szCs w:val="18"/>
                <w:highlight w:val="none"/>
                <w:lang w:val="en-US" w:eastAsia="zh-CN"/>
              </w:rPr>
              <w:tab/>
            </w:r>
          </w:p>
          <w:p w14:paraId="21976BD9">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6、</w:t>
            </w:r>
            <w:r>
              <w:rPr>
                <w:rFonts w:hint="eastAsia" w:ascii="宋体" w:hAnsi="宋体" w:eastAsia="宋体" w:cs="宋体"/>
                <w:color w:val="auto"/>
                <w:sz w:val="18"/>
                <w:szCs w:val="18"/>
                <w:highlight w:val="none"/>
                <w:lang w:val="en-US" w:eastAsia="zh-CN"/>
              </w:rPr>
              <w:t>排程设置：设定时间后自动开机进行网络同传，完成后所有计算机自动关机。</w:t>
            </w:r>
          </w:p>
          <w:p w14:paraId="196792BE">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7、</w:t>
            </w:r>
            <w:r>
              <w:rPr>
                <w:rFonts w:hint="eastAsia" w:ascii="宋体" w:hAnsi="宋体" w:eastAsia="宋体" w:cs="宋体"/>
                <w:color w:val="auto"/>
                <w:sz w:val="18"/>
                <w:szCs w:val="18"/>
                <w:highlight w:val="none"/>
                <w:lang w:val="en-US" w:eastAsia="zh-CN"/>
              </w:rPr>
              <w:t>资产管理:管理端可对客户端的软硬件信息进行资产盘点，并导出Doc或Excel文件以便保存。</w:t>
            </w:r>
          </w:p>
          <w:p w14:paraId="564DF747">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8、</w:t>
            </w:r>
            <w:r>
              <w:rPr>
                <w:rFonts w:hint="eastAsia" w:ascii="宋体" w:hAnsi="宋体" w:eastAsia="宋体" w:cs="宋体"/>
                <w:color w:val="auto"/>
                <w:sz w:val="18"/>
                <w:szCs w:val="18"/>
                <w:highlight w:val="none"/>
                <w:lang w:val="en-US" w:eastAsia="zh-CN"/>
              </w:rPr>
              <w:t>产品升级：管理端可下发升级包在几分钟内就升级所有客户端程序。</w:t>
            </w:r>
          </w:p>
          <w:p w14:paraId="0BCC97B7">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9、</w:t>
            </w:r>
            <w:r>
              <w:rPr>
                <w:rFonts w:hint="eastAsia" w:ascii="宋体" w:hAnsi="宋体" w:eastAsia="宋体" w:cs="宋体"/>
                <w:color w:val="auto"/>
                <w:sz w:val="18"/>
                <w:szCs w:val="18"/>
                <w:highlight w:val="none"/>
                <w:lang w:val="en-US" w:eastAsia="zh-CN"/>
              </w:rPr>
              <w:t>电子教室：软件含电子教室功能，实现课堂教学老师对学生广播教学、学生演示、网页广播、电子点名、提交作业等多项教学互动功能。</w:t>
            </w:r>
          </w:p>
          <w:p w14:paraId="66120B08">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10、</w:t>
            </w:r>
            <w:r>
              <w:rPr>
                <w:rFonts w:hint="eastAsia" w:ascii="宋体" w:hAnsi="宋体" w:eastAsia="宋体" w:cs="宋体"/>
                <w:color w:val="auto"/>
                <w:sz w:val="18"/>
                <w:szCs w:val="18"/>
                <w:highlight w:val="none"/>
                <w:lang w:val="en-US" w:eastAsia="zh-CN"/>
              </w:rPr>
              <w:t>客户端搜索：管理端可以抓取该局域网内的所有客户端，即便该客户端已登入其他管理端。便于一次性管理所有电脑教室。将系统被使用的情况都记录在日志文件内，以供需要时查询。</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56B98D37">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984" w:type="dxa"/>
            <w:tcBorders>
              <w:top w:val="single" w:color="000000" w:sz="4" w:space="0"/>
              <w:left w:val="single" w:color="000000" w:sz="4" w:space="0"/>
              <w:bottom w:val="single" w:color="000000" w:sz="4" w:space="0"/>
              <w:right w:val="single" w:color="000000" w:sz="4" w:space="0"/>
            </w:tcBorders>
            <w:noWrap/>
            <w:vAlign w:val="center"/>
          </w:tcPr>
          <w:p w14:paraId="65F3E144">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套（120点位）</w:t>
            </w:r>
          </w:p>
        </w:tc>
        <w:tc>
          <w:tcPr>
            <w:tcW w:w="1943" w:type="dxa"/>
            <w:tcBorders>
              <w:top w:val="single" w:color="000000" w:sz="4" w:space="0"/>
              <w:left w:val="single" w:color="000000" w:sz="4" w:space="0"/>
              <w:bottom w:val="single" w:color="000000" w:sz="4" w:space="0"/>
              <w:right w:val="single" w:color="000000" w:sz="4" w:space="0"/>
            </w:tcBorders>
            <w:noWrap w:val="0"/>
            <w:vAlign w:val="center"/>
          </w:tcPr>
          <w:p w14:paraId="5EBB5EEF">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color w:val="auto"/>
                <w:sz w:val="18"/>
                <w:szCs w:val="18"/>
                <w:highlight w:val="none"/>
                <w:lang w:val="en-US" w:eastAsia="zh-CN"/>
              </w:rPr>
            </w:pPr>
          </w:p>
        </w:tc>
      </w:tr>
      <w:tr w14:paraId="6E87C635">
        <w:tblPrEx>
          <w:tblCellMar>
            <w:top w:w="0" w:type="dxa"/>
            <w:left w:w="108" w:type="dxa"/>
            <w:bottom w:w="0" w:type="dxa"/>
            <w:right w:w="108" w:type="dxa"/>
          </w:tblCellMar>
        </w:tblPrEx>
        <w:trPr>
          <w:trHeight w:val="499" w:hRule="atLeast"/>
          <w:jc w:val="center"/>
        </w:trPr>
        <w:tc>
          <w:tcPr>
            <w:tcW w:w="815" w:type="dxa"/>
            <w:tcBorders>
              <w:top w:val="single" w:color="000000" w:sz="4" w:space="0"/>
              <w:left w:val="single" w:color="000000" w:sz="4" w:space="0"/>
              <w:bottom w:val="single" w:color="000000" w:sz="4" w:space="0"/>
              <w:right w:val="single" w:color="000000" w:sz="4" w:space="0"/>
            </w:tcBorders>
            <w:noWrap/>
            <w:vAlign w:val="center"/>
          </w:tcPr>
          <w:p w14:paraId="29988ED0">
            <w:pPr>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3A82E48A">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电子教室</w:t>
            </w:r>
          </w:p>
        </w:tc>
        <w:tc>
          <w:tcPr>
            <w:tcW w:w="7705" w:type="dxa"/>
            <w:tcBorders>
              <w:top w:val="single" w:color="000000" w:sz="4" w:space="0"/>
              <w:left w:val="single" w:color="000000" w:sz="4" w:space="0"/>
              <w:bottom w:val="single" w:color="000000" w:sz="4" w:space="0"/>
              <w:right w:val="single" w:color="000000" w:sz="4" w:space="0"/>
            </w:tcBorders>
            <w:noWrap w:val="0"/>
            <w:vAlign w:val="center"/>
          </w:tcPr>
          <w:p w14:paraId="6BBC582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1、屏幕广播：将教师机屏幕和教师讲话实时广播给单一、部分或全体学生，可选择全屏或窗口方式。</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2、共享白板：教师可共享白板、桌面或图片与选定的学生共同完成相同的学习任务或绘画作品，提供学生也可以单独完成。</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3、网络影院：实现教师机播放的视频同步广播到学生机。</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4、屏幕录制：教师机可以将本地的操作和讲解过程录制为mp4录像文件，可以用 Windows 自带的 Media Player 直接播放。</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5、学生端屏幕录制、回放：学生端接收教师端广播的时候可以自动录制教师机广播教学的过程，课后可以重复观看学习。</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文件分发：允许教师将教师机不同盘符中的目录或文件一起发送至生机的某目录下。目录不存在自动新建此目录；盘符不存在或路径非法不允许分发；文件已存在选择自动覆盖或保留原始文件。</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6、文件提交：学生把做好的作业直接提交到教师机，方便教师批改作业要收取的麻烦。</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7、屏幕监视：教师机可以监视单一、部分、全体学生机的屏幕，教师机每屏可监视多个学生屏幕（方便监视操作及查看）。可以控制教师机监控的同屏幕各窗口间、屏幕与屏幕间的切换速度。可手动或自动循环监视。</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8、网页限制：设定学生访问网站的黑名单或白名单，对学生可以访问的Internet站点进行管理。支持多浏览器限制，如QQ、IE、谷歌、360、遨游等浏览器。</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9、程序限制：通过各种策略的应用，可防止学生在教学过程中打游戏，或使用QQ，MSN等聊天工具，支持限制U盘，网络映射盘，硬盘虚拟盘，虚拟光盘，内存虚拟盘里的程序。</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10、自动锁屏：独有的断线保护自动锁屏技术，通过网卡的是否激活来锁定屏幕，避免学生拔掉网线违反纪律。</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11、防杀进程：为安全起见，学生端程序运行后，防止学生通过任务管理器结束学生端程序进程来逃脱教师控制。</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请求帮助：学生端遇到问题可请求帮助，教师端可远程遥控帮助学生解决问题。</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2E00D027">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984" w:type="dxa"/>
            <w:tcBorders>
              <w:top w:val="single" w:color="000000" w:sz="4" w:space="0"/>
              <w:left w:val="single" w:color="000000" w:sz="4" w:space="0"/>
              <w:bottom w:val="single" w:color="000000" w:sz="4" w:space="0"/>
              <w:right w:val="single" w:color="000000" w:sz="4" w:space="0"/>
            </w:tcBorders>
            <w:noWrap/>
            <w:vAlign w:val="center"/>
          </w:tcPr>
          <w:p w14:paraId="3A4D0C17">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套（120点位）</w:t>
            </w:r>
          </w:p>
        </w:tc>
        <w:tc>
          <w:tcPr>
            <w:tcW w:w="1943" w:type="dxa"/>
            <w:tcBorders>
              <w:top w:val="single" w:color="000000" w:sz="4" w:space="0"/>
              <w:left w:val="single" w:color="000000" w:sz="4" w:space="0"/>
              <w:bottom w:val="single" w:color="000000" w:sz="4" w:space="0"/>
              <w:right w:val="single" w:color="000000" w:sz="4" w:space="0"/>
            </w:tcBorders>
            <w:noWrap w:val="0"/>
            <w:vAlign w:val="center"/>
          </w:tcPr>
          <w:p w14:paraId="205A798E">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color w:val="auto"/>
                <w:sz w:val="18"/>
                <w:szCs w:val="18"/>
                <w:highlight w:val="none"/>
              </w:rPr>
            </w:pPr>
          </w:p>
        </w:tc>
      </w:tr>
      <w:tr w14:paraId="295A8A3D">
        <w:tblPrEx>
          <w:tblCellMar>
            <w:top w:w="0" w:type="dxa"/>
            <w:left w:w="108" w:type="dxa"/>
            <w:bottom w:w="0" w:type="dxa"/>
            <w:right w:w="108" w:type="dxa"/>
          </w:tblCellMar>
        </w:tblPrEx>
        <w:trPr>
          <w:trHeight w:val="499" w:hRule="atLeast"/>
          <w:jc w:val="center"/>
        </w:trPr>
        <w:tc>
          <w:tcPr>
            <w:tcW w:w="815" w:type="dxa"/>
            <w:tcBorders>
              <w:top w:val="single" w:color="000000" w:sz="4" w:space="0"/>
              <w:left w:val="single" w:color="000000" w:sz="4" w:space="0"/>
              <w:bottom w:val="single" w:color="000000" w:sz="4" w:space="0"/>
              <w:right w:val="single" w:color="000000" w:sz="4" w:space="0"/>
            </w:tcBorders>
            <w:noWrap/>
            <w:vAlign w:val="center"/>
          </w:tcPr>
          <w:p w14:paraId="58607F5D">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1EA3F627">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智能交互平板</w:t>
            </w:r>
          </w:p>
        </w:tc>
        <w:tc>
          <w:tcPr>
            <w:tcW w:w="7705" w:type="dxa"/>
            <w:tcBorders>
              <w:top w:val="single" w:color="000000" w:sz="4" w:space="0"/>
              <w:left w:val="single" w:color="000000" w:sz="4" w:space="0"/>
              <w:bottom w:val="single" w:color="000000" w:sz="4" w:space="0"/>
              <w:right w:val="single" w:color="000000" w:sz="4" w:space="0"/>
            </w:tcBorders>
            <w:noWrap w:val="0"/>
            <w:vAlign w:val="center"/>
          </w:tcPr>
          <w:p w14:paraId="6302FA48">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1.智能交互平板显示尺寸≥86英寸，分辨率≥3840*2160，采用红外触控技术，在双系统下均支持20点同时触控及书写，智能交互平板显示部分需采用高色彩覆盖技术，NTSC色域标准下覆盖率不低于95%。</w:t>
            </w:r>
          </w:p>
          <w:p w14:paraId="0FBC299B">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2.设备采用物理减滤蓝光设计，无需其他的多余按键操作即可实现防蓝光，有效保护用眼健康，通过扫描设备自带的二维码可获取检测机构的认证信息。</w:t>
            </w:r>
          </w:p>
          <w:p w14:paraId="1B8C3010">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3.为方便外接信号源的输入以及满足数据的高速传输需求，设备至少1路前置HDMI接口（非转接）、2路前置USB3.0接口1路Type-C接口，同时为方便用户外接拓展设备，整机标配1路VGA输入接口。</w:t>
            </w:r>
          </w:p>
          <w:p w14:paraId="37E099AA">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 xml:space="preserve">4.为方便用户进行各类设置和操作，设备前置按键不少于7个，可快速进行音量加减、窗口关闭、触控开关等功能的设置和调用，且均具备按键复用功能。 </w:t>
            </w:r>
          </w:p>
          <w:p w14:paraId="0C8F9841">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5.内置电脑</w:t>
            </w:r>
          </w:p>
          <w:p w14:paraId="08D9B405">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⑴采用80pin Intel通用标准接口,即插即用，易于维护；</w:t>
            </w:r>
          </w:p>
          <w:p w14:paraId="66F5F496">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⑵CPU采用Intel第11代及以上平台处理器酷睿I5处理器；</w:t>
            </w:r>
          </w:p>
          <w:p w14:paraId="077434FD">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 xml:space="preserve">⑶内存：不低于8G DDR4；硬盘：不低于256G SSD固态硬盘； </w:t>
            </w:r>
          </w:p>
          <w:p w14:paraId="787289EF">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⑷接口：整机非外扩展具备5个USB接口；具有独立非外扩展的视频输出接口：1路HDMI等。</w:t>
            </w:r>
          </w:p>
          <w:p w14:paraId="6D5C681C">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6.保修：整机提供3年质保及免费上门服务。</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68743829">
            <w:pPr>
              <w:keepNext w:val="0"/>
              <w:keepLines w:val="0"/>
              <w:pageBreakBefore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w:t>
            </w:r>
          </w:p>
        </w:tc>
        <w:tc>
          <w:tcPr>
            <w:tcW w:w="984" w:type="dxa"/>
            <w:tcBorders>
              <w:top w:val="single" w:color="000000" w:sz="4" w:space="0"/>
              <w:left w:val="single" w:color="000000" w:sz="4" w:space="0"/>
              <w:bottom w:val="single" w:color="000000" w:sz="4" w:space="0"/>
              <w:right w:val="single" w:color="000000" w:sz="4" w:space="0"/>
            </w:tcBorders>
            <w:noWrap/>
            <w:vAlign w:val="center"/>
          </w:tcPr>
          <w:p w14:paraId="264D62F4">
            <w:pPr>
              <w:keepNext w:val="0"/>
              <w:keepLines w:val="0"/>
              <w:pageBreakBefore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台</w:t>
            </w:r>
          </w:p>
        </w:tc>
        <w:tc>
          <w:tcPr>
            <w:tcW w:w="1943" w:type="dxa"/>
            <w:tcBorders>
              <w:top w:val="single" w:color="000000" w:sz="4" w:space="0"/>
              <w:left w:val="single" w:color="000000" w:sz="4" w:space="0"/>
              <w:bottom w:val="single" w:color="000000" w:sz="4" w:space="0"/>
              <w:right w:val="single" w:color="000000" w:sz="4" w:space="0"/>
            </w:tcBorders>
            <w:noWrap/>
            <w:vAlign w:val="center"/>
          </w:tcPr>
          <w:p w14:paraId="53C7AB26">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color w:val="auto"/>
                <w:sz w:val="18"/>
                <w:szCs w:val="18"/>
                <w:highlight w:val="none"/>
              </w:rPr>
            </w:pPr>
          </w:p>
        </w:tc>
      </w:tr>
      <w:tr w14:paraId="02B7243B">
        <w:tblPrEx>
          <w:tblCellMar>
            <w:top w:w="0" w:type="dxa"/>
            <w:left w:w="108" w:type="dxa"/>
            <w:bottom w:w="0" w:type="dxa"/>
            <w:right w:w="108" w:type="dxa"/>
          </w:tblCellMar>
        </w:tblPrEx>
        <w:trPr>
          <w:trHeight w:val="3312" w:hRule="atLeast"/>
          <w:jc w:val="center"/>
        </w:trPr>
        <w:tc>
          <w:tcPr>
            <w:tcW w:w="815" w:type="dxa"/>
            <w:tcBorders>
              <w:top w:val="single" w:color="000000" w:sz="4" w:space="0"/>
              <w:left w:val="single" w:color="000000" w:sz="4" w:space="0"/>
              <w:bottom w:val="single" w:color="000000" w:sz="4" w:space="0"/>
              <w:right w:val="single" w:color="000000" w:sz="4" w:space="0"/>
            </w:tcBorders>
            <w:noWrap/>
            <w:vAlign w:val="center"/>
          </w:tcPr>
          <w:p w14:paraId="18ABD8B9">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5</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48269170">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电脑桌面开关</w:t>
            </w:r>
          </w:p>
        </w:tc>
        <w:tc>
          <w:tcPr>
            <w:tcW w:w="7705" w:type="dxa"/>
            <w:tcBorders>
              <w:top w:val="single" w:color="000000" w:sz="4" w:space="0"/>
              <w:left w:val="single" w:color="000000" w:sz="4" w:space="0"/>
              <w:bottom w:val="single" w:color="000000" w:sz="4" w:space="0"/>
              <w:right w:val="single" w:color="000000" w:sz="4" w:space="0"/>
            </w:tcBorders>
            <w:noWrap w:val="0"/>
            <w:vAlign w:val="center"/>
          </w:tcPr>
          <w:p w14:paraId="4739EA3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5" w:leftChars="0" w:hanging="425"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1.</w:t>
            </w:r>
            <w:r>
              <w:rPr>
                <w:rFonts w:hint="eastAsia" w:ascii="宋体" w:hAnsi="宋体" w:eastAsia="宋体" w:cs="宋体"/>
                <w:color w:val="auto"/>
                <w:sz w:val="18"/>
                <w:szCs w:val="18"/>
                <w:highlight w:val="none"/>
                <w:lang w:val="en-US" w:eastAsia="zh-CN"/>
              </w:rPr>
              <w:t>电源开关：必备功能，用于开启或关闭机箱电源。</w:t>
            </w:r>
          </w:p>
          <w:p w14:paraId="4B99545A">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5" w:leftChars="0" w:hanging="425"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2.</w:t>
            </w:r>
            <w:r>
              <w:rPr>
                <w:rFonts w:hint="eastAsia" w:ascii="宋体" w:hAnsi="宋体" w:eastAsia="宋体" w:cs="宋体"/>
                <w:color w:val="auto"/>
                <w:sz w:val="18"/>
                <w:szCs w:val="18"/>
                <w:highlight w:val="none"/>
                <w:lang w:val="en-US" w:eastAsia="zh-CN"/>
              </w:rPr>
              <w:t>复位开关：大部分机箱具备，用于在系统出现故障时重启电脑。</w:t>
            </w:r>
          </w:p>
          <w:p w14:paraId="45B7A2A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5" w:leftChars="0" w:hanging="425"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3.</w:t>
            </w:r>
            <w:r>
              <w:rPr>
                <w:rFonts w:hint="eastAsia" w:ascii="宋体" w:hAnsi="宋体" w:eastAsia="宋体" w:cs="宋体"/>
                <w:color w:val="auto"/>
                <w:sz w:val="18"/>
                <w:szCs w:val="18"/>
                <w:highlight w:val="none"/>
                <w:lang w:val="en-US" w:eastAsia="zh-CN"/>
              </w:rPr>
              <w:t>电源指示灯：单个 LED 灯，通常为绿色或白色，当指示灯亮起时，表示系统已通电。</w:t>
            </w:r>
          </w:p>
          <w:p w14:paraId="0A992683">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5" w:leftChars="0" w:hanging="425"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4.</w:t>
            </w:r>
            <w:r>
              <w:rPr>
                <w:rFonts w:hint="eastAsia" w:ascii="宋体" w:hAnsi="宋体" w:eastAsia="宋体" w:cs="宋体"/>
                <w:color w:val="auto"/>
                <w:sz w:val="18"/>
                <w:szCs w:val="18"/>
                <w:highlight w:val="none"/>
                <w:lang w:val="en-US" w:eastAsia="zh-CN"/>
              </w:rPr>
              <w:t>硬盘活动指示灯：单个 LED 灯，通常为红色，当指示灯闪烁时，表示硬盘正在进行读写操作。</w:t>
            </w:r>
          </w:p>
          <w:p w14:paraId="0C3B50FC">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5" w:leftChars="0" w:hanging="425"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5.</w:t>
            </w:r>
            <w:r>
              <w:rPr>
                <w:rFonts w:hint="eastAsia" w:ascii="宋体" w:hAnsi="宋体" w:eastAsia="宋体" w:cs="宋体"/>
                <w:color w:val="auto"/>
                <w:sz w:val="18"/>
                <w:szCs w:val="18"/>
                <w:highlight w:val="none"/>
                <w:lang w:val="en-US" w:eastAsia="zh-CN"/>
              </w:rPr>
              <w:t>前置音频接口：采用 3.5mm 规格，包含耳机插孔和麦克风插孔，方便用户连接音频设备。</w:t>
            </w:r>
          </w:p>
          <w:p w14:paraId="0040451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5" w:leftChars="0" w:hanging="425"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6.</w:t>
            </w:r>
            <w:r>
              <w:rPr>
                <w:rFonts w:hint="eastAsia" w:ascii="宋体" w:hAnsi="宋体" w:eastAsia="宋体" w:cs="宋体"/>
                <w:color w:val="auto"/>
                <w:sz w:val="18"/>
                <w:szCs w:val="18"/>
                <w:highlight w:val="none"/>
                <w:lang w:val="en-US" w:eastAsia="zh-CN"/>
              </w:rPr>
              <w:t>前置 USB 接口：</w:t>
            </w:r>
          </w:p>
          <w:p w14:paraId="4A6FDA2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5" w:leftChars="0" w:hanging="425"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USB 2.0 接口：传输速度相对较慢，适用于连接对传输速度要求不高的设备。</w:t>
            </w:r>
          </w:p>
          <w:p w14:paraId="59D86A91">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5" w:leftChars="0" w:hanging="425"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USB 3.0 接口：接口颜色通常为蓝色（Type-A 口），传输速度比 USB 2.0 快。</w:t>
            </w:r>
          </w:p>
          <w:p w14:paraId="17CC376A">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5" w:leftChars="0" w:hanging="425"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USB 3.1 / 3.2 Gen 1 / Gen 2 接口：在传输速度上有所提升，满足不同设备的数据传输需求。</w:t>
            </w:r>
          </w:p>
          <w:p w14:paraId="7D1DB3B8">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5" w:leftChars="0" w:hanging="425"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7.</w:t>
            </w:r>
            <w:r>
              <w:rPr>
                <w:rFonts w:hint="eastAsia" w:ascii="宋体" w:hAnsi="宋体" w:eastAsia="宋体" w:cs="宋体"/>
                <w:color w:val="auto"/>
                <w:sz w:val="18"/>
                <w:szCs w:val="18"/>
                <w:highlight w:val="none"/>
                <w:lang w:val="en-US" w:eastAsia="zh-CN"/>
              </w:rPr>
              <w:t>安装方式通常有两种：</w:t>
            </w:r>
          </w:p>
          <w:p w14:paraId="668F0668">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5" w:leftChars="0" w:hanging="425"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卡扣式：通过模块自身的卡扣结构，直接卡在机箱前面板的开孔处，安装和拆卸较为便捷。</w:t>
            </w:r>
          </w:p>
          <w:p w14:paraId="72E93370">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5" w:leftChars="0" w:hanging="425"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螺丝固定：使用螺丝将开关模块固定在机箱前面板上，这种安装方式更为稳固，可有效防止模块松动。</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59138342">
            <w:pPr>
              <w:keepNext w:val="0"/>
              <w:keepLines w:val="0"/>
              <w:pageBreakBefore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120</w:t>
            </w:r>
          </w:p>
        </w:tc>
        <w:tc>
          <w:tcPr>
            <w:tcW w:w="984" w:type="dxa"/>
            <w:tcBorders>
              <w:top w:val="single" w:color="000000" w:sz="4" w:space="0"/>
              <w:left w:val="single" w:color="000000" w:sz="4" w:space="0"/>
              <w:bottom w:val="single" w:color="000000" w:sz="4" w:space="0"/>
              <w:right w:val="single" w:color="000000" w:sz="4" w:space="0"/>
            </w:tcBorders>
            <w:noWrap/>
            <w:vAlign w:val="center"/>
          </w:tcPr>
          <w:p w14:paraId="3FAF6B4B">
            <w:pPr>
              <w:keepNext w:val="0"/>
              <w:keepLines w:val="0"/>
              <w:pageBreakBefore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个</w:t>
            </w:r>
          </w:p>
        </w:tc>
        <w:tc>
          <w:tcPr>
            <w:tcW w:w="1943" w:type="dxa"/>
            <w:tcBorders>
              <w:top w:val="single" w:color="000000" w:sz="4" w:space="0"/>
              <w:left w:val="single" w:color="000000" w:sz="4" w:space="0"/>
              <w:bottom w:val="single" w:color="000000" w:sz="4" w:space="0"/>
              <w:right w:val="single" w:color="000000" w:sz="4" w:space="0"/>
            </w:tcBorders>
            <w:noWrap/>
            <w:vAlign w:val="center"/>
          </w:tcPr>
          <w:p w14:paraId="2B872992">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color w:val="auto"/>
                <w:sz w:val="18"/>
                <w:szCs w:val="18"/>
                <w:highlight w:val="none"/>
              </w:rPr>
            </w:pPr>
          </w:p>
        </w:tc>
      </w:tr>
      <w:tr w14:paraId="2AC93FF2">
        <w:tblPrEx>
          <w:tblCellMar>
            <w:top w:w="0" w:type="dxa"/>
            <w:left w:w="108" w:type="dxa"/>
            <w:bottom w:w="0" w:type="dxa"/>
            <w:right w:w="108" w:type="dxa"/>
          </w:tblCellMar>
        </w:tblPrEx>
        <w:trPr>
          <w:trHeight w:val="499" w:hRule="atLeast"/>
          <w:jc w:val="center"/>
        </w:trPr>
        <w:tc>
          <w:tcPr>
            <w:tcW w:w="14542" w:type="dxa"/>
            <w:gridSpan w:val="6"/>
            <w:tcBorders>
              <w:top w:val="single" w:color="000000" w:sz="4" w:space="0"/>
              <w:left w:val="single" w:color="000000" w:sz="4" w:space="0"/>
              <w:bottom w:val="single" w:color="000000" w:sz="4" w:space="0"/>
              <w:right w:val="single" w:color="000000" w:sz="4" w:space="0"/>
            </w:tcBorders>
            <w:noWrap/>
            <w:vAlign w:val="center"/>
          </w:tcPr>
          <w:p w14:paraId="3DEA214B">
            <w:pPr>
              <w:keepNext w:val="0"/>
              <w:keepLines w:val="0"/>
              <w:pageBreakBefore w:val="0"/>
              <w:widowControl w:val="0"/>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b/>
                <w:bCs/>
                <w:color w:val="auto"/>
                <w:sz w:val="21"/>
                <w:szCs w:val="21"/>
                <w:highlight w:val="none"/>
                <w:lang w:val="en-US" w:eastAsia="zh-CN"/>
              </w:rPr>
              <w:t>（二）实训室配套清单</w:t>
            </w:r>
          </w:p>
        </w:tc>
      </w:tr>
      <w:tr w14:paraId="3C95976B">
        <w:tblPrEx>
          <w:tblCellMar>
            <w:top w:w="0" w:type="dxa"/>
            <w:left w:w="108" w:type="dxa"/>
            <w:bottom w:w="0" w:type="dxa"/>
            <w:right w:w="108" w:type="dxa"/>
          </w:tblCellMar>
        </w:tblPrEx>
        <w:trPr>
          <w:trHeight w:val="499" w:hRule="atLeast"/>
          <w:jc w:val="center"/>
        </w:trPr>
        <w:tc>
          <w:tcPr>
            <w:tcW w:w="815" w:type="dxa"/>
            <w:tcBorders>
              <w:top w:val="single" w:color="000000" w:sz="4" w:space="0"/>
              <w:left w:val="single" w:color="000000" w:sz="4" w:space="0"/>
              <w:bottom w:val="single" w:color="000000" w:sz="4" w:space="0"/>
              <w:right w:val="single" w:color="000000" w:sz="4" w:space="0"/>
            </w:tcBorders>
            <w:noWrap/>
            <w:vAlign w:val="center"/>
          </w:tcPr>
          <w:p w14:paraId="0BC3C9DC">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691A250F">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安装施工</w:t>
            </w:r>
          </w:p>
        </w:tc>
        <w:tc>
          <w:tcPr>
            <w:tcW w:w="7705" w:type="dxa"/>
            <w:tcBorders>
              <w:top w:val="single" w:color="000000" w:sz="4" w:space="0"/>
              <w:left w:val="single" w:color="000000" w:sz="4" w:space="0"/>
              <w:bottom w:val="single" w:color="000000" w:sz="4" w:space="0"/>
              <w:right w:val="single" w:color="000000" w:sz="4" w:space="0"/>
            </w:tcBorders>
            <w:noWrap w:val="0"/>
            <w:vAlign w:val="center"/>
          </w:tcPr>
          <w:p w14:paraId="2E4FD918">
            <w:pPr>
              <w:keepNext w:val="0"/>
              <w:keepLines w:val="0"/>
              <w:pageBreakBefore w:val="0"/>
              <w:widowControl w:val="0"/>
              <w:numPr>
                <w:ilvl w:val="0"/>
                <w:numId w:val="14"/>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包含Aol电箱移位改造、4㎡电线、超五类网线、8芯光缆、满配终端盒、熔接、跳纤。</w:t>
            </w:r>
          </w:p>
          <w:p w14:paraId="0606B529">
            <w:pPr>
              <w:keepNext w:val="0"/>
              <w:keepLines w:val="0"/>
              <w:pageBreakBefore w:val="0"/>
              <w:widowControl w:val="0"/>
              <w:numPr>
                <w:ilvl w:val="0"/>
                <w:numId w:val="14"/>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墙面处理（刮白粉刷处理）、PVC管材以及相应辅材。</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0968D6B0">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w:t>
            </w:r>
          </w:p>
        </w:tc>
        <w:tc>
          <w:tcPr>
            <w:tcW w:w="984" w:type="dxa"/>
            <w:tcBorders>
              <w:top w:val="single" w:color="000000" w:sz="4" w:space="0"/>
              <w:left w:val="single" w:color="000000" w:sz="4" w:space="0"/>
              <w:bottom w:val="single" w:color="000000" w:sz="4" w:space="0"/>
              <w:right w:val="single" w:color="000000" w:sz="4" w:space="0"/>
            </w:tcBorders>
            <w:noWrap/>
            <w:vAlign w:val="center"/>
          </w:tcPr>
          <w:p w14:paraId="545248E8">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间</w:t>
            </w:r>
          </w:p>
        </w:tc>
        <w:tc>
          <w:tcPr>
            <w:tcW w:w="1943" w:type="dxa"/>
            <w:tcBorders>
              <w:top w:val="single" w:color="000000" w:sz="4" w:space="0"/>
              <w:left w:val="single" w:color="000000" w:sz="4" w:space="0"/>
              <w:bottom w:val="single" w:color="000000" w:sz="4" w:space="0"/>
              <w:right w:val="single" w:color="000000" w:sz="4" w:space="0"/>
            </w:tcBorders>
            <w:noWrap/>
            <w:vAlign w:val="center"/>
          </w:tcPr>
          <w:p w14:paraId="1BEF9A16">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rPr>
            </w:pPr>
          </w:p>
        </w:tc>
      </w:tr>
      <w:tr w14:paraId="23988ACC">
        <w:tblPrEx>
          <w:tblCellMar>
            <w:top w:w="0" w:type="dxa"/>
            <w:left w:w="108" w:type="dxa"/>
            <w:bottom w:w="0" w:type="dxa"/>
            <w:right w:w="108" w:type="dxa"/>
          </w:tblCellMar>
        </w:tblPrEx>
        <w:trPr>
          <w:trHeight w:val="499" w:hRule="atLeast"/>
          <w:jc w:val="center"/>
        </w:trPr>
        <w:tc>
          <w:tcPr>
            <w:tcW w:w="815" w:type="dxa"/>
            <w:tcBorders>
              <w:top w:val="single" w:color="000000" w:sz="4" w:space="0"/>
              <w:left w:val="single" w:color="000000" w:sz="4" w:space="0"/>
              <w:bottom w:val="single" w:color="000000" w:sz="4" w:space="0"/>
              <w:right w:val="single" w:color="000000" w:sz="4" w:space="0"/>
            </w:tcBorders>
            <w:noWrap/>
            <w:vAlign w:val="center"/>
          </w:tcPr>
          <w:p w14:paraId="49DECCB1">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50169B9F">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综合布线以及安装调试</w:t>
            </w:r>
          </w:p>
        </w:tc>
        <w:tc>
          <w:tcPr>
            <w:tcW w:w="7705" w:type="dxa"/>
            <w:tcBorders>
              <w:top w:val="single" w:color="000000" w:sz="4" w:space="0"/>
              <w:left w:val="single" w:color="000000" w:sz="4" w:space="0"/>
              <w:bottom w:val="single" w:color="000000" w:sz="4" w:space="0"/>
              <w:right w:val="single" w:color="000000" w:sz="4" w:space="0"/>
            </w:tcBorders>
            <w:noWrap w:val="0"/>
            <w:vAlign w:val="center"/>
          </w:tcPr>
          <w:p w14:paraId="6AD7BF15">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所需的2.5㎡、4㎡强电线缆，六类网线弱电线缆以及相应的公牛排插等辅材，搬运安装调试</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447885B2">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w:t>
            </w:r>
          </w:p>
        </w:tc>
        <w:tc>
          <w:tcPr>
            <w:tcW w:w="984" w:type="dxa"/>
            <w:tcBorders>
              <w:top w:val="single" w:color="000000" w:sz="4" w:space="0"/>
              <w:left w:val="single" w:color="000000" w:sz="4" w:space="0"/>
              <w:bottom w:val="single" w:color="000000" w:sz="4" w:space="0"/>
              <w:right w:val="single" w:color="000000" w:sz="4" w:space="0"/>
            </w:tcBorders>
            <w:noWrap/>
            <w:vAlign w:val="center"/>
          </w:tcPr>
          <w:p w14:paraId="7E7C9401">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批</w:t>
            </w:r>
          </w:p>
        </w:tc>
        <w:tc>
          <w:tcPr>
            <w:tcW w:w="1943" w:type="dxa"/>
            <w:tcBorders>
              <w:top w:val="single" w:color="000000" w:sz="4" w:space="0"/>
              <w:left w:val="single" w:color="000000" w:sz="4" w:space="0"/>
              <w:bottom w:val="single" w:color="000000" w:sz="4" w:space="0"/>
              <w:right w:val="single" w:color="000000" w:sz="4" w:space="0"/>
            </w:tcBorders>
            <w:noWrap/>
            <w:vAlign w:val="center"/>
          </w:tcPr>
          <w:p w14:paraId="4E769F24">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rPr>
            </w:pPr>
          </w:p>
        </w:tc>
      </w:tr>
      <w:tr w14:paraId="7CD62A67">
        <w:tblPrEx>
          <w:tblCellMar>
            <w:top w:w="0" w:type="dxa"/>
            <w:left w:w="108" w:type="dxa"/>
            <w:bottom w:w="0" w:type="dxa"/>
            <w:right w:w="108" w:type="dxa"/>
          </w:tblCellMar>
        </w:tblPrEx>
        <w:trPr>
          <w:trHeight w:val="499" w:hRule="atLeast"/>
          <w:jc w:val="center"/>
        </w:trPr>
        <w:tc>
          <w:tcPr>
            <w:tcW w:w="815" w:type="dxa"/>
            <w:tcBorders>
              <w:top w:val="single" w:color="000000" w:sz="4" w:space="0"/>
              <w:left w:val="single" w:color="000000" w:sz="4" w:space="0"/>
              <w:bottom w:val="single" w:color="000000" w:sz="4" w:space="0"/>
              <w:right w:val="single" w:color="000000" w:sz="4" w:space="0"/>
            </w:tcBorders>
            <w:noWrap/>
            <w:vAlign w:val="center"/>
          </w:tcPr>
          <w:p w14:paraId="5C1ADA9E">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51B53295">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机柜</w:t>
            </w:r>
          </w:p>
        </w:tc>
        <w:tc>
          <w:tcPr>
            <w:tcW w:w="7705" w:type="dxa"/>
            <w:tcBorders>
              <w:top w:val="single" w:color="000000" w:sz="4" w:space="0"/>
              <w:left w:val="single" w:color="000000" w:sz="4" w:space="0"/>
              <w:bottom w:val="single" w:color="000000" w:sz="4" w:space="0"/>
              <w:right w:val="single" w:color="000000" w:sz="4" w:space="0"/>
            </w:tcBorders>
            <w:noWrap w:val="0"/>
            <w:vAlign w:val="center"/>
          </w:tcPr>
          <w:p w14:paraId="53C9959F">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1、参数要求：</w:t>
            </w:r>
            <w:r>
              <w:rPr>
                <w:rFonts w:hint="eastAsia" w:ascii="宋体" w:hAnsi="宋体" w:eastAsia="宋体" w:cs="宋体"/>
                <w:b w:val="0"/>
                <w:bCs w:val="0"/>
                <w:color w:val="auto"/>
                <w:sz w:val="18"/>
                <w:szCs w:val="18"/>
                <w:highlight w:val="none"/>
                <w:lang w:val="en-US" w:eastAsia="zh-CN"/>
              </w:rPr>
              <w:t>≥</w:t>
            </w:r>
            <w:r>
              <w:rPr>
                <w:rFonts w:hint="eastAsia" w:ascii="宋体" w:hAnsi="宋体" w:eastAsia="宋体" w:cs="宋体"/>
                <w:color w:val="auto"/>
                <w:kern w:val="0"/>
                <w:sz w:val="18"/>
                <w:szCs w:val="18"/>
                <w:highlight w:val="none"/>
                <w:lang w:val="en-US" w:eastAsia="zh-CN" w:bidi="ar"/>
              </w:rPr>
              <w:t>600*800*1200mm，整体框架结构，材料：框架: SPCC优质冷轧钢板；厚度：方孔条</w:t>
            </w:r>
            <w:r>
              <w:rPr>
                <w:rFonts w:hint="eastAsia" w:ascii="宋体" w:hAnsi="宋体" w:eastAsia="宋体" w:cs="宋体"/>
                <w:b w:val="0"/>
                <w:bCs w:val="0"/>
                <w:color w:val="auto"/>
                <w:sz w:val="18"/>
                <w:szCs w:val="18"/>
                <w:highlight w:val="none"/>
                <w:lang w:val="en-US" w:eastAsia="zh-CN"/>
              </w:rPr>
              <w:t>≥</w:t>
            </w:r>
            <w:r>
              <w:rPr>
                <w:rFonts w:hint="eastAsia" w:ascii="宋体" w:hAnsi="宋体" w:eastAsia="宋体" w:cs="宋体"/>
                <w:color w:val="auto"/>
                <w:kern w:val="0"/>
                <w:sz w:val="18"/>
                <w:szCs w:val="18"/>
                <w:highlight w:val="none"/>
                <w:lang w:val="en-US" w:eastAsia="zh-CN" w:bidi="ar"/>
              </w:rPr>
              <w:t>2.0mm，安装梁</w:t>
            </w:r>
            <w:r>
              <w:rPr>
                <w:rFonts w:hint="eastAsia" w:ascii="宋体" w:hAnsi="宋体" w:eastAsia="宋体" w:cs="宋体"/>
                <w:b w:val="0"/>
                <w:bCs w:val="0"/>
                <w:color w:val="auto"/>
                <w:sz w:val="18"/>
                <w:szCs w:val="18"/>
                <w:highlight w:val="none"/>
                <w:lang w:val="en-US" w:eastAsia="zh-CN"/>
              </w:rPr>
              <w:t>≥</w:t>
            </w:r>
            <w:r>
              <w:rPr>
                <w:rFonts w:hint="eastAsia" w:ascii="宋体" w:hAnsi="宋体" w:eastAsia="宋体" w:cs="宋体"/>
                <w:color w:val="auto"/>
                <w:kern w:val="0"/>
                <w:sz w:val="18"/>
                <w:szCs w:val="18"/>
                <w:highlight w:val="none"/>
                <w:lang w:val="en-US" w:eastAsia="zh-CN" w:bidi="ar"/>
              </w:rPr>
              <w:t>1.2mm，侧门</w:t>
            </w:r>
            <w:r>
              <w:rPr>
                <w:rFonts w:hint="eastAsia" w:ascii="宋体" w:hAnsi="宋体" w:eastAsia="宋体" w:cs="宋体"/>
                <w:b w:val="0"/>
                <w:bCs w:val="0"/>
                <w:color w:val="auto"/>
                <w:sz w:val="18"/>
                <w:szCs w:val="18"/>
                <w:highlight w:val="none"/>
                <w:lang w:val="en-US" w:eastAsia="zh-CN"/>
              </w:rPr>
              <w:t>≥</w:t>
            </w:r>
            <w:r>
              <w:rPr>
                <w:rFonts w:hint="eastAsia" w:ascii="宋体" w:hAnsi="宋体" w:eastAsia="宋体" w:cs="宋体"/>
                <w:color w:val="auto"/>
                <w:kern w:val="0"/>
                <w:sz w:val="18"/>
                <w:szCs w:val="18"/>
                <w:highlight w:val="none"/>
                <w:lang w:val="en-US" w:eastAsia="zh-CN" w:bidi="ar"/>
              </w:rPr>
              <w:t>1.0mm，其它</w:t>
            </w:r>
            <w:r>
              <w:rPr>
                <w:rFonts w:hint="eastAsia" w:ascii="宋体" w:hAnsi="宋体" w:eastAsia="宋体" w:cs="宋体"/>
                <w:b w:val="0"/>
                <w:bCs w:val="0"/>
                <w:color w:val="auto"/>
                <w:sz w:val="18"/>
                <w:szCs w:val="18"/>
                <w:highlight w:val="none"/>
                <w:lang w:val="en-US" w:eastAsia="zh-CN"/>
              </w:rPr>
              <w:t>≥</w:t>
            </w:r>
            <w:r>
              <w:rPr>
                <w:rFonts w:hint="eastAsia" w:ascii="宋体" w:hAnsi="宋体" w:eastAsia="宋体" w:cs="宋体"/>
                <w:color w:val="auto"/>
                <w:kern w:val="0"/>
                <w:sz w:val="18"/>
                <w:szCs w:val="18"/>
                <w:highlight w:val="none"/>
                <w:lang w:val="en-US" w:eastAsia="zh-CN" w:bidi="ar"/>
              </w:rPr>
              <w:t>1.2mm；高级旋把门锁。承重</w:t>
            </w:r>
            <w:r>
              <w:rPr>
                <w:rFonts w:hint="eastAsia" w:ascii="宋体" w:hAnsi="宋体" w:eastAsia="宋体" w:cs="宋体"/>
                <w:b w:val="0"/>
                <w:bCs w:val="0"/>
                <w:color w:val="auto"/>
                <w:sz w:val="18"/>
                <w:szCs w:val="18"/>
                <w:highlight w:val="none"/>
                <w:lang w:val="en-US" w:eastAsia="zh-CN"/>
              </w:rPr>
              <w:t>≥</w:t>
            </w:r>
            <w:r>
              <w:rPr>
                <w:rFonts w:hint="eastAsia" w:ascii="宋体" w:hAnsi="宋体" w:eastAsia="宋体" w:cs="宋体"/>
                <w:color w:val="auto"/>
                <w:kern w:val="0"/>
                <w:sz w:val="18"/>
                <w:szCs w:val="18"/>
                <w:highlight w:val="none"/>
                <w:lang w:val="en-US" w:eastAsia="zh-CN" w:bidi="ar"/>
              </w:rPr>
              <w:t>800kg.整体机架，前后网孔门，机柜顶部四个全静音风扇，保证内部良好通风及散热，封闭式电缆管理，电缆从顶部或底部进入；侧门可拆卸。在前后门安装6个缓冲垫，有明显的提示标签，机柜带有独立防静电接地系统系统，安装立柱可调整，可提供机柜并柜件。</w:t>
            </w:r>
          </w:p>
          <w:p w14:paraId="391A2598">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2、配件：一个10A6位PDU电源，3个层板，4个风扇，40套M6卡扣安装螺丝，地脚螺钉4颗。</w:t>
            </w:r>
          </w:p>
          <w:p w14:paraId="2B5AF21A">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0"/>
                <w:sz w:val="18"/>
                <w:szCs w:val="18"/>
                <w:highlight w:val="none"/>
                <w:lang w:val="en-US" w:eastAsia="zh-CN" w:bidi="ar"/>
              </w:rPr>
              <w:t>3、质量保障：制造商通过国际质量体系ISO9000、CE、ROHS等认证。</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5B640ED0">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984" w:type="dxa"/>
            <w:tcBorders>
              <w:top w:val="single" w:color="000000" w:sz="4" w:space="0"/>
              <w:left w:val="single" w:color="000000" w:sz="4" w:space="0"/>
              <w:bottom w:val="single" w:color="000000" w:sz="4" w:space="0"/>
              <w:right w:val="single" w:color="000000" w:sz="4" w:space="0"/>
            </w:tcBorders>
            <w:noWrap/>
            <w:vAlign w:val="center"/>
          </w:tcPr>
          <w:p w14:paraId="2779FEFC">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个</w:t>
            </w:r>
          </w:p>
        </w:tc>
        <w:tc>
          <w:tcPr>
            <w:tcW w:w="1943" w:type="dxa"/>
            <w:tcBorders>
              <w:top w:val="single" w:color="000000" w:sz="4" w:space="0"/>
              <w:left w:val="single" w:color="000000" w:sz="4" w:space="0"/>
              <w:bottom w:val="single" w:color="000000" w:sz="4" w:space="0"/>
              <w:right w:val="single" w:color="000000" w:sz="4" w:space="0"/>
            </w:tcBorders>
            <w:noWrap/>
            <w:vAlign w:val="center"/>
          </w:tcPr>
          <w:p w14:paraId="3E4AD980">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rPr>
            </w:pPr>
          </w:p>
        </w:tc>
      </w:tr>
      <w:tr w14:paraId="557181DD">
        <w:tblPrEx>
          <w:tblCellMar>
            <w:top w:w="0" w:type="dxa"/>
            <w:left w:w="108" w:type="dxa"/>
            <w:bottom w:w="0" w:type="dxa"/>
            <w:right w:w="108" w:type="dxa"/>
          </w:tblCellMar>
        </w:tblPrEx>
        <w:trPr>
          <w:trHeight w:val="549" w:hRule="atLeast"/>
          <w:jc w:val="center"/>
        </w:trPr>
        <w:tc>
          <w:tcPr>
            <w:tcW w:w="815" w:type="dxa"/>
            <w:tcBorders>
              <w:top w:val="single" w:color="000000" w:sz="4" w:space="0"/>
              <w:left w:val="single" w:color="000000" w:sz="4" w:space="0"/>
              <w:bottom w:val="single" w:color="000000" w:sz="4" w:space="0"/>
              <w:right w:val="single" w:color="000000" w:sz="4" w:space="0"/>
            </w:tcBorders>
            <w:noWrap/>
            <w:vAlign w:val="center"/>
          </w:tcPr>
          <w:p w14:paraId="21B14700">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1848B9EA">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交换机</w:t>
            </w:r>
          </w:p>
        </w:tc>
        <w:tc>
          <w:tcPr>
            <w:tcW w:w="7705" w:type="dxa"/>
            <w:tcBorders>
              <w:top w:val="single" w:color="000000" w:sz="4" w:space="0"/>
              <w:left w:val="single" w:color="000000" w:sz="4" w:space="0"/>
              <w:bottom w:val="single" w:color="000000" w:sz="4" w:space="0"/>
              <w:right w:val="single" w:color="000000" w:sz="4" w:space="0"/>
            </w:tcBorders>
            <w:noWrap w:val="0"/>
            <w:vAlign w:val="center"/>
          </w:tcPr>
          <w:p w14:paraId="5828BF55">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1.交换容量</w:t>
            </w:r>
            <w:r>
              <w:rPr>
                <w:rFonts w:hint="eastAsia" w:ascii="宋体" w:hAnsi="宋体" w:eastAsia="宋体" w:cs="宋体"/>
                <w:b w:val="0"/>
                <w:bCs w:val="0"/>
                <w:color w:val="auto"/>
                <w:sz w:val="18"/>
                <w:szCs w:val="18"/>
                <w:highlight w:val="none"/>
                <w:lang w:val="en-US" w:eastAsia="zh-CN"/>
              </w:rPr>
              <w:t>≥</w:t>
            </w:r>
            <w:r>
              <w:rPr>
                <w:rFonts w:hint="eastAsia" w:ascii="宋体" w:hAnsi="宋体" w:eastAsia="宋体" w:cs="宋体"/>
                <w:color w:val="auto"/>
                <w:sz w:val="18"/>
                <w:szCs w:val="18"/>
                <w:highlight w:val="none"/>
                <w:lang w:val="en-US" w:eastAsia="zh-CN"/>
              </w:rPr>
              <w:t>396GT，包转发率≥570Mpps（若官网有A/B两值，以小值为准）；</w:t>
            </w:r>
          </w:p>
          <w:p w14:paraId="70C538AB">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2.24口10/100/1000Mbps自适应电口交换机，固化4个SFP千兆光口；</w:t>
            </w:r>
          </w:p>
          <w:p w14:paraId="41BC2521">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3.支持RIP，OSPF，BGP，RIPng，OSPFv3，BGP4+；</w:t>
            </w:r>
          </w:p>
          <w:p w14:paraId="78499352">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4.支持端口镜像功能，支持多对一端口镜像及一对多端口镜像，支持跨交换机的远程端口镜像功能RSPAN，支持聚合链路的镜像。</w:t>
            </w:r>
          </w:p>
          <w:p w14:paraId="3A1FBC92">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5. 品牌要求 ：投标产品须为国际或国内主流网络设备品牌。</w:t>
            </w:r>
          </w:p>
          <w:p w14:paraId="2064DAE9">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 软件升级 ：供应商须承诺在质保期内免费提供最新的稳定版操作系统/固件。</w:t>
            </w:r>
          </w:p>
          <w:p w14:paraId="1BE5F233">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7. 质保服务 ：提供原厂3年及以上质保。</w:t>
            </w:r>
          </w:p>
          <w:p w14:paraId="70A288DC">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8. 认证要求 ：签订合同时需提供 3C认证证书。</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51918F0E">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w:t>
            </w:r>
          </w:p>
        </w:tc>
        <w:tc>
          <w:tcPr>
            <w:tcW w:w="984" w:type="dxa"/>
            <w:tcBorders>
              <w:top w:val="single" w:color="000000" w:sz="4" w:space="0"/>
              <w:left w:val="single" w:color="000000" w:sz="4" w:space="0"/>
              <w:bottom w:val="single" w:color="000000" w:sz="4" w:space="0"/>
              <w:right w:val="single" w:color="000000" w:sz="4" w:space="0"/>
            </w:tcBorders>
            <w:noWrap/>
            <w:vAlign w:val="center"/>
          </w:tcPr>
          <w:p w14:paraId="6F7E36D9">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台</w:t>
            </w:r>
          </w:p>
        </w:tc>
        <w:tc>
          <w:tcPr>
            <w:tcW w:w="1943" w:type="dxa"/>
            <w:tcBorders>
              <w:top w:val="single" w:color="000000" w:sz="4" w:space="0"/>
              <w:left w:val="single" w:color="000000" w:sz="4" w:space="0"/>
              <w:bottom w:val="single" w:color="000000" w:sz="4" w:space="0"/>
              <w:right w:val="single" w:color="000000" w:sz="4" w:space="0"/>
            </w:tcBorders>
            <w:noWrap/>
            <w:vAlign w:val="center"/>
          </w:tcPr>
          <w:p w14:paraId="6484A17D">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rPr>
            </w:pPr>
          </w:p>
        </w:tc>
      </w:tr>
      <w:tr w14:paraId="3C72A974">
        <w:tblPrEx>
          <w:tblCellMar>
            <w:top w:w="0" w:type="dxa"/>
            <w:left w:w="108" w:type="dxa"/>
            <w:bottom w:w="0" w:type="dxa"/>
            <w:right w:w="108" w:type="dxa"/>
          </w:tblCellMar>
        </w:tblPrEx>
        <w:trPr>
          <w:trHeight w:val="2172" w:hRule="atLeast"/>
          <w:jc w:val="center"/>
        </w:trPr>
        <w:tc>
          <w:tcPr>
            <w:tcW w:w="815" w:type="dxa"/>
            <w:tcBorders>
              <w:top w:val="single" w:color="000000" w:sz="4" w:space="0"/>
              <w:left w:val="single" w:color="000000" w:sz="4" w:space="0"/>
              <w:bottom w:val="single" w:color="000000" w:sz="4" w:space="0"/>
              <w:right w:val="single" w:color="000000" w:sz="4" w:space="0"/>
            </w:tcBorders>
            <w:noWrap/>
            <w:vAlign w:val="center"/>
          </w:tcPr>
          <w:p w14:paraId="6980EABF">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5</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320C59E8">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电脑桌</w:t>
            </w:r>
          </w:p>
        </w:tc>
        <w:tc>
          <w:tcPr>
            <w:tcW w:w="7705" w:type="dxa"/>
            <w:tcBorders>
              <w:top w:val="single" w:color="000000" w:sz="4" w:space="0"/>
              <w:left w:val="single" w:color="000000" w:sz="4" w:space="0"/>
              <w:bottom w:val="single" w:color="000000" w:sz="4" w:space="0"/>
              <w:right w:val="single" w:color="000000" w:sz="4" w:space="0"/>
            </w:tcBorders>
            <w:noWrap w:val="0"/>
            <w:vAlign w:val="center"/>
          </w:tcPr>
          <w:p w14:paraId="69B32D3C">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1.钢木组合结构，桌面采用</w:t>
            </w:r>
            <w:r>
              <w:rPr>
                <w:rFonts w:hint="eastAsia" w:ascii="宋体" w:hAnsi="宋体" w:eastAsia="宋体" w:cs="宋体"/>
                <w:b w:val="0"/>
                <w:bCs w:val="0"/>
                <w:color w:val="auto"/>
                <w:sz w:val="18"/>
                <w:szCs w:val="18"/>
                <w:highlight w:val="none"/>
                <w:lang w:val="en-US" w:eastAsia="zh-CN"/>
              </w:rPr>
              <w:t>≥</w:t>
            </w:r>
            <w:r>
              <w:rPr>
                <w:rFonts w:hint="eastAsia" w:ascii="宋体" w:hAnsi="宋体" w:eastAsia="宋体" w:cs="宋体"/>
                <w:color w:val="auto"/>
                <w:sz w:val="18"/>
                <w:szCs w:val="18"/>
                <w:highlight w:val="none"/>
                <w:lang w:val="en-US" w:eastAsia="zh-CN"/>
              </w:rPr>
              <w:t>25mm厚压缩多层实木板外贴防火板，带穿线孔。</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2.钢材部分采用</w:t>
            </w:r>
            <w:r>
              <w:rPr>
                <w:rFonts w:hint="eastAsia" w:ascii="宋体" w:hAnsi="宋体" w:eastAsia="宋体" w:cs="宋体"/>
                <w:b w:val="0"/>
                <w:bCs w:val="0"/>
                <w:color w:val="auto"/>
                <w:sz w:val="18"/>
                <w:szCs w:val="18"/>
                <w:highlight w:val="none"/>
                <w:lang w:val="en-US" w:eastAsia="zh-CN"/>
              </w:rPr>
              <w:t>≥</w:t>
            </w:r>
            <w:r>
              <w:rPr>
                <w:rFonts w:hint="eastAsia" w:ascii="宋体" w:hAnsi="宋体" w:eastAsia="宋体" w:cs="宋体"/>
                <w:color w:val="auto"/>
                <w:sz w:val="18"/>
                <w:szCs w:val="18"/>
                <w:highlight w:val="none"/>
                <w:lang w:val="en-US" w:eastAsia="zh-CN"/>
              </w:rPr>
              <w:t>1.2mm扁钢管，经数控弯管机握弯成型m冷轧钢板制作并布局散热孔。</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3.所有基材均耐酸碱、防虫、防腐等特出处理。</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4.封边严密、平整、与整块板材严丝合缝。</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5.规格</w:t>
            </w:r>
            <w:r>
              <w:rPr>
                <w:rFonts w:hint="eastAsia" w:ascii="宋体" w:hAnsi="宋体" w:eastAsia="宋体" w:cs="宋体"/>
                <w:b w:val="0"/>
                <w:bCs w:val="0"/>
                <w:color w:val="auto"/>
                <w:sz w:val="18"/>
                <w:szCs w:val="18"/>
                <w:highlight w:val="none"/>
                <w:lang w:val="en-US" w:eastAsia="zh-CN"/>
              </w:rPr>
              <w:t>≥</w:t>
            </w:r>
            <w:r>
              <w:rPr>
                <w:rFonts w:hint="eastAsia" w:ascii="宋体" w:hAnsi="宋体" w:eastAsia="宋体" w:cs="宋体"/>
                <w:color w:val="auto"/>
                <w:sz w:val="18"/>
                <w:szCs w:val="18"/>
                <w:highlight w:val="none"/>
                <w:lang w:val="en-US" w:eastAsia="zh-CN"/>
              </w:rPr>
              <w:t>1400*550*750</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497E2B66">
            <w:pPr>
              <w:keepNext w:val="0"/>
              <w:keepLines w:val="0"/>
              <w:pageBreakBefore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bidi="ar"/>
              </w:rPr>
              <w:t>60</w:t>
            </w:r>
          </w:p>
        </w:tc>
        <w:tc>
          <w:tcPr>
            <w:tcW w:w="984" w:type="dxa"/>
            <w:tcBorders>
              <w:top w:val="single" w:color="000000" w:sz="4" w:space="0"/>
              <w:left w:val="single" w:color="000000" w:sz="4" w:space="0"/>
              <w:bottom w:val="single" w:color="000000" w:sz="4" w:space="0"/>
              <w:right w:val="single" w:color="000000" w:sz="4" w:space="0"/>
            </w:tcBorders>
            <w:noWrap/>
            <w:vAlign w:val="center"/>
          </w:tcPr>
          <w:p w14:paraId="5EC0A019">
            <w:pPr>
              <w:keepNext w:val="0"/>
              <w:keepLines w:val="0"/>
              <w:pageBreakBefore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bidi="ar"/>
              </w:rPr>
              <w:t>张</w:t>
            </w:r>
          </w:p>
        </w:tc>
        <w:tc>
          <w:tcPr>
            <w:tcW w:w="1943" w:type="dxa"/>
            <w:tcBorders>
              <w:top w:val="single" w:color="000000" w:sz="4" w:space="0"/>
              <w:left w:val="single" w:color="000000" w:sz="4" w:space="0"/>
              <w:bottom w:val="single" w:color="000000" w:sz="4" w:space="0"/>
              <w:right w:val="single" w:color="000000" w:sz="4" w:space="0"/>
            </w:tcBorders>
            <w:noWrap/>
            <w:vAlign w:val="center"/>
          </w:tcPr>
          <w:p w14:paraId="6D0A4DCD">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highlight w:val="none"/>
              </w:rPr>
              <w:drawing>
                <wp:anchor distT="0" distB="0" distL="114300" distR="114300" simplePos="0" relativeHeight="251671552" behindDoc="0" locked="0" layoutInCell="1" allowOverlap="1">
                  <wp:simplePos x="0" y="0"/>
                  <wp:positionH relativeFrom="column">
                    <wp:posOffset>-54610</wp:posOffset>
                  </wp:positionH>
                  <wp:positionV relativeFrom="paragraph">
                    <wp:posOffset>160655</wp:posOffset>
                  </wp:positionV>
                  <wp:extent cx="1179830" cy="1139825"/>
                  <wp:effectExtent l="0" t="0" r="1270" b="3175"/>
                  <wp:wrapTopAndBottom/>
                  <wp:docPr id="5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3"/>
                          <pic:cNvPicPr>
                            <a:picLocks noChangeAspect="1"/>
                          </pic:cNvPicPr>
                        </pic:nvPicPr>
                        <pic:blipFill>
                          <a:blip r:embed="rId41"/>
                          <a:stretch>
                            <a:fillRect/>
                          </a:stretch>
                        </pic:blipFill>
                        <pic:spPr>
                          <a:xfrm>
                            <a:off x="0" y="0"/>
                            <a:ext cx="1179830" cy="1139825"/>
                          </a:xfrm>
                          <a:prstGeom prst="rect">
                            <a:avLst/>
                          </a:prstGeom>
                          <a:noFill/>
                          <a:ln>
                            <a:noFill/>
                          </a:ln>
                        </pic:spPr>
                      </pic:pic>
                    </a:graphicData>
                  </a:graphic>
                </wp:anchor>
              </w:drawing>
            </w:r>
          </w:p>
        </w:tc>
      </w:tr>
      <w:tr w14:paraId="5E62270C">
        <w:tblPrEx>
          <w:tblCellMar>
            <w:top w:w="0" w:type="dxa"/>
            <w:left w:w="108" w:type="dxa"/>
            <w:bottom w:w="0" w:type="dxa"/>
            <w:right w:w="108" w:type="dxa"/>
          </w:tblCellMar>
        </w:tblPrEx>
        <w:trPr>
          <w:trHeight w:val="499" w:hRule="atLeast"/>
          <w:jc w:val="center"/>
        </w:trPr>
        <w:tc>
          <w:tcPr>
            <w:tcW w:w="815" w:type="dxa"/>
            <w:tcBorders>
              <w:top w:val="single" w:color="000000" w:sz="4" w:space="0"/>
              <w:left w:val="single" w:color="000000" w:sz="4" w:space="0"/>
              <w:bottom w:val="single" w:color="000000" w:sz="4" w:space="0"/>
              <w:right w:val="single" w:color="000000" w:sz="4" w:space="0"/>
            </w:tcBorders>
            <w:noWrap/>
            <w:vAlign w:val="center"/>
          </w:tcPr>
          <w:p w14:paraId="64A43F0A">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5332B526">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电脑椅</w:t>
            </w:r>
          </w:p>
        </w:tc>
        <w:tc>
          <w:tcPr>
            <w:tcW w:w="7705" w:type="dxa"/>
            <w:tcBorders>
              <w:top w:val="single" w:color="000000" w:sz="4" w:space="0"/>
              <w:left w:val="single" w:color="000000" w:sz="4" w:space="0"/>
              <w:bottom w:val="single" w:color="000000" w:sz="4" w:space="0"/>
              <w:right w:val="single" w:color="000000" w:sz="4" w:space="0"/>
            </w:tcBorders>
            <w:noWrap w:val="0"/>
            <w:vAlign w:val="center"/>
          </w:tcPr>
          <w:p w14:paraId="2BAEAF42">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1.钢木组合结构，桌面采用</w:t>
            </w:r>
            <w:r>
              <w:rPr>
                <w:rFonts w:hint="eastAsia" w:ascii="宋体" w:hAnsi="宋体" w:eastAsia="宋体" w:cs="宋体"/>
                <w:b w:val="0"/>
                <w:bCs w:val="0"/>
                <w:color w:val="auto"/>
                <w:sz w:val="18"/>
                <w:szCs w:val="18"/>
                <w:highlight w:val="none"/>
                <w:lang w:val="en-US" w:eastAsia="zh-CN"/>
              </w:rPr>
              <w:t>≥</w:t>
            </w:r>
            <w:r>
              <w:rPr>
                <w:rFonts w:hint="eastAsia" w:ascii="宋体" w:hAnsi="宋体" w:eastAsia="宋体" w:cs="宋体"/>
                <w:color w:val="auto"/>
                <w:sz w:val="18"/>
                <w:szCs w:val="18"/>
                <w:highlight w:val="none"/>
                <w:lang w:val="en-US" w:eastAsia="zh-CN"/>
              </w:rPr>
              <w:t>25mm厚压缩多层实木板外贴防火板，带穿线孔。</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2.钢材部分采用</w:t>
            </w:r>
            <w:r>
              <w:rPr>
                <w:rFonts w:hint="eastAsia" w:ascii="宋体" w:hAnsi="宋体" w:eastAsia="宋体" w:cs="宋体"/>
                <w:b w:val="0"/>
                <w:bCs w:val="0"/>
                <w:color w:val="auto"/>
                <w:sz w:val="18"/>
                <w:szCs w:val="18"/>
                <w:highlight w:val="none"/>
                <w:lang w:val="en-US" w:eastAsia="zh-CN"/>
              </w:rPr>
              <w:t>≥</w:t>
            </w:r>
            <w:r>
              <w:rPr>
                <w:rFonts w:hint="eastAsia" w:ascii="宋体" w:hAnsi="宋体" w:eastAsia="宋体" w:cs="宋体"/>
                <w:color w:val="auto"/>
                <w:sz w:val="18"/>
                <w:szCs w:val="18"/>
                <w:highlight w:val="none"/>
                <w:lang w:val="en-US" w:eastAsia="zh-CN"/>
              </w:rPr>
              <w:t>1.2mm扁钢管，经数控弯管机握弯成型m冷轧钢板制作并布局散热孔。</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3.所有基材均耐酸碱、防虫、防腐等特出处理。</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4.封边严密、平整、与整块板材严丝合缝。</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5.规格</w:t>
            </w:r>
            <w:r>
              <w:rPr>
                <w:rFonts w:hint="eastAsia" w:ascii="宋体" w:hAnsi="宋体" w:eastAsia="宋体" w:cs="宋体"/>
                <w:b w:val="0"/>
                <w:bCs w:val="0"/>
                <w:color w:val="auto"/>
                <w:sz w:val="18"/>
                <w:szCs w:val="18"/>
                <w:highlight w:val="none"/>
                <w:lang w:val="en-US" w:eastAsia="zh-CN"/>
              </w:rPr>
              <w:t>≥</w:t>
            </w:r>
            <w:r>
              <w:rPr>
                <w:rFonts w:hint="eastAsia" w:ascii="宋体" w:hAnsi="宋体" w:eastAsia="宋体" w:cs="宋体"/>
                <w:color w:val="auto"/>
                <w:sz w:val="18"/>
                <w:szCs w:val="18"/>
                <w:highlight w:val="none"/>
                <w:lang w:val="en-US" w:eastAsia="zh-CN"/>
              </w:rPr>
              <w:t>340*240*450</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43A74C14">
            <w:pPr>
              <w:keepNext w:val="0"/>
              <w:keepLines w:val="0"/>
              <w:pageBreakBefore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bidi="ar"/>
              </w:rPr>
              <w:t>12</w:t>
            </w:r>
            <w:r>
              <w:rPr>
                <w:rFonts w:hint="eastAsia" w:ascii="宋体" w:hAnsi="宋体" w:eastAsia="宋体" w:cs="宋体"/>
                <w:color w:val="auto"/>
                <w:sz w:val="18"/>
                <w:szCs w:val="18"/>
                <w:highlight w:val="none"/>
                <w:lang w:bidi="ar"/>
              </w:rPr>
              <w:t>0</w:t>
            </w:r>
          </w:p>
        </w:tc>
        <w:tc>
          <w:tcPr>
            <w:tcW w:w="984" w:type="dxa"/>
            <w:tcBorders>
              <w:top w:val="single" w:color="000000" w:sz="4" w:space="0"/>
              <w:left w:val="single" w:color="000000" w:sz="4" w:space="0"/>
              <w:bottom w:val="single" w:color="000000" w:sz="4" w:space="0"/>
              <w:right w:val="single" w:color="000000" w:sz="4" w:space="0"/>
            </w:tcBorders>
            <w:noWrap/>
            <w:vAlign w:val="center"/>
          </w:tcPr>
          <w:p w14:paraId="6F9F5259">
            <w:pPr>
              <w:keepNext w:val="0"/>
              <w:keepLines w:val="0"/>
              <w:pageBreakBefore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bidi="ar"/>
              </w:rPr>
              <w:t>张</w:t>
            </w:r>
          </w:p>
        </w:tc>
        <w:tc>
          <w:tcPr>
            <w:tcW w:w="1943" w:type="dxa"/>
            <w:tcBorders>
              <w:top w:val="single" w:color="000000" w:sz="4" w:space="0"/>
              <w:left w:val="single" w:color="000000" w:sz="4" w:space="0"/>
              <w:bottom w:val="single" w:color="000000" w:sz="4" w:space="0"/>
              <w:right w:val="single" w:color="000000" w:sz="4" w:space="0"/>
            </w:tcBorders>
            <w:noWrap/>
            <w:vAlign w:val="center"/>
          </w:tcPr>
          <w:p w14:paraId="08333A3E">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rPr>
            </w:pPr>
          </w:p>
        </w:tc>
      </w:tr>
      <w:tr w14:paraId="5D3AAE3F">
        <w:tblPrEx>
          <w:tblCellMar>
            <w:top w:w="0" w:type="dxa"/>
            <w:left w:w="108" w:type="dxa"/>
            <w:bottom w:w="0" w:type="dxa"/>
            <w:right w:w="108" w:type="dxa"/>
          </w:tblCellMar>
        </w:tblPrEx>
        <w:trPr>
          <w:trHeight w:val="499" w:hRule="atLeast"/>
          <w:jc w:val="center"/>
        </w:trPr>
        <w:tc>
          <w:tcPr>
            <w:tcW w:w="815" w:type="dxa"/>
            <w:tcBorders>
              <w:top w:val="single" w:color="000000" w:sz="4" w:space="0"/>
              <w:left w:val="single" w:color="000000" w:sz="4" w:space="0"/>
              <w:bottom w:val="single" w:color="000000" w:sz="4" w:space="0"/>
              <w:right w:val="single" w:color="000000" w:sz="4" w:space="0"/>
            </w:tcBorders>
            <w:noWrap/>
            <w:vAlign w:val="center"/>
          </w:tcPr>
          <w:p w14:paraId="60F2D241">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7</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54E4396F">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静电地板</w:t>
            </w:r>
          </w:p>
        </w:tc>
        <w:tc>
          <w:tcPr>
            <w:tcW w:w="7705" w:type="dxa"/>
            <w:tcBorders>
              <w:top w:val="single" w:color="000000" w:sz="4" w:space="0"/>
              <w:left w:val="single" w:color="000000" w:sz="4" w:space="0"/>
              <w:bottom w:val="single" w:color="000000" w:sz="4" w:space="0"/>
              <w:right w:val="single" w:color="000000" w:sz="4" w:space="0"/>
            </w:tcBorders>
            <w:noWrap w:val="0"/>
            <w:vAlign w:val="center"/>
          </w:tcPr>
          <w:p w14:paraId="0C0171A0">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1.陶瓷小兰花 600*600*45</w:t>
            </w:r>
            <w:r>
              <w:rPr>
                <w:rFonts w:hint="eastAsia" w:ascii="宋体" w:hAnsi="宋体" w:eastAsia="宋体" w:cs="宋体"/>
                <w:color w:val="auto"/>
                <w:sz w:val="18"/>
                <w:szCs w:val="18"/>
                <w:highlight w:val="none"/>
              </w:rPr>
              <w:br w:type="textWrapping"/>
            </w:r>
            <w:r>
              <w:rPr>
                <w:rFonts w:hint="eastAsia" w:ascii="宋体" w:hAnsi="宋体" w:eastAsia="宋体" w:cs="宋体"/>
                <w:color w:val="auto"/>
                <w:sz w:val="18"/>
                <w:szCs w:val="18"/>
                <w:highlight w:val="none"/>
              </w:rPr>
              <w:t>2.集中载荷=2950N时挠度：1.21mm、永久变形：0.2mm</w:t>
            </w:r>
            <w:r>
              <w:rPr>
                <w:rFonts w:hint="eastAsia" w:ascii="宋体" w:hAnsi="宋体" w:eastAsia="宋体" w:cs="宋体"/>
                <w:color w:val="auto"/>
                <w:sz w:val="18"/>
                <w:szCs w:val="18"/>
                <w:highlight w:val="none"/>
              </w:rPr>
              <w:br w:type="textWrapping"/>
            </w:r>
            <w:r>
              <w:rPr>
                <w:rFonts w:hint="eastAsia" w:ascii="宋体" w:hAnsi="宋体" w:eastAsia="宋体" w:cs="宋体"/>
                <w:color w:val="auto"/>
                <w:sz w:val="18"/>
                <w:szCs w:val="18"/>
                <w:highlight w:val="none"/>
              </w:rPr>
              <w:t>3.均布载荷=12500N/㎡ 挠度：0.88mm</w:t>
            </w:r>
            <w:r>
              <w:rPr>
                <w:rFonts w:hint="eastAsia" w:ascii="宋体" w:hAnsi="宋体" w:eastAsia="宋体" w:cs="宋体"/>
                <w:color w:val="auto"/>
                <w:sz w:val="18"/>
                <w:szCs w:val="18"/>
                <w:highlight w:val="none"/>
              </w:rPr>
              <w:br w:type="textWrapping"/>
            </w:r>
            <w:r>
              <w:rPr>
                <w:rFonts w:hint="eastAsia" w:ascii="宋体" w:hAnsi="宋体" w:eastAsia="宋体" w:cs="宋体"/>
                <w:color w:val="auto"/>
                <w:sz w:val="18"/>
                <w:szCs w:val="18"/>
                <w:highlight w:val="none"/>
              </w:rPr>
              <w:t>4.极限集中载荷</w:t>
            </w:r>
            <w:r>
              <w:rPr>
                <w:rFonts w:hint="eastAsia" w:ascii="宋体" w:hAnsi="宋体" w:eastAsia="宋体" w:cs="宋体"/>
                <w:b w:val="0"/>
                <w:bCs w:val="0"/>
                <w:color w:val="auto"/>
                <w:sz w:val="18"/>
                <w:szCs w:val="18"/>
                <w:highlight w:val="none"/>
                <w:lang w:val="en-US" w:eastAsia="zh-CN"/>
              </w:rPr>
              <w:t>≥</w:t>
            </w:r>
            <w:r>
              <w:rPr>
                <w:rFonts w:hint="eastAsia" w:ascii="宋体" w:hAnsi="宋体" w:eastAsia="宋体" w:cs="宋体"/>
                <w:color w:val="auto"/>
                <w:sz w:val="18"/>
                <w:szCs w:val="18"/>
                <w:highlight w:val="none"/>
              </w:rPr>
              <w:t>13580N</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50B393C4">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170</w:t>
            </w:r>
          </w:p>
        </w:tc>
        <w:tc>
          <w:tcPr>
            <w:tcW w:w="984" w:type="dxa"/>
            <w:tcBorders>
              <w:top w:val="single" w:color="000000" w:sz="4" w:space="0"/>
              <w:left w:val="single" w:color="000000" w:sz="4" w:space="0"/>
              <w:bottom w:val="single" w:color="000000" w:sz="4" w:space="0"/>
              <w:right w:val="single" w:color="000000" w:sz="4" w:space="0"/>
            </w:tcBorders>
            <w:noWrap/>
            <w:vAlign w:val="center"/>
          </w:tcPr>
          <w:p w14:paraId="5FEFFAA8">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w:t>
            </w:r>
          </w:p>
        </w:tc>
        <w:tc>
          <w:tcPr>
            <w:tcW w:w="1943" w:type="dxa"/>
            <w:tcBorders>
              <w:top w:val="single" w:color="000000" w:sz="4" w:space="0"/>
              <w:left w:val="single" w:color="000000" w:sz="4" w:space="0"/>
              <w:bottom w:val="single" w:color="000000" w:sz="4" w:space="0"/>
              <w:right w:val="single" w:color="000000" w:sz="4" w:space="0"/>
            </w:tcBorders>
            <w:noWrap/>
            <w:vAlign w:val="center"/>
          </w:tcPr>
          <w:p w14:paraId="5F09BB88">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p>
        </w:tc>
      </w:tr>
      <w:tr w14:paraId="42A8A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4542" w:type="dxa"/>
            <w:gridSpan w:val="6"/>
            <w:noWrap w:val="0"/>
            <w:vAlign w:val="center"/>
          </w:tcPr>
          <w:p w14:paraId="0FB2CF56">
            <w:pPr>
              <w:widowControl/>
              <w:spacing w:line="240" w:lineRule="auto"/>
              <w:ind w:firstLine="0" w:firstLineChars="0"/>
              <w:jc w:val="center"/>
              <w:textAlignment w:val="center"/>
              <w:rPr>
                <w:rFonts w:hint="eastAsia" w:ascii="宋体" w:hAnsi="宋体" w:eastAsia="宋体" w:cs="宋体"/>
                <w:color w:val="auto"/>
                <w:kern w:val="0"/>
                <w:sz w:val="18"/>
                <w:szCs w:val="18"/>
                <w:highlight w:val="none"/>
                <w:lang w:val="en-US" w:eastAsia="zh-CN" w:bidi="ar"/>
              </w:rPr>
            </w:pPr>
            <w:bookmarkStart w:id="784" w:name="OLE_LINK4"/>
            <w:r>
              <w:rPr>
                <w:rFonts w:hint="eastAsia" w:ascii="宋体" w:hAnsi="宋体" w:eastAsia="宋体" w:cs="宋体"/>
                <w:b/>
                <w:bCs/>
                <w:color w:val="auto"/>
                <w:kern w:val="0"/>
                <w:sz w:val="21"/>
                <w:szCs w:val="21"/>
                <w:highlight w:val="none"/>
                <w:lang w:val="en-US" w:eastAsia="zh-CN" w:bidi="ar"/>
              </w:rPr>
              <w:t>三、智能工程学院机房实训室建设</w:t>
            </w:r>
          </w:p>
        </w:tc>
      </w:tr>
      <w:bookmarkEnd w:id="784"/>
      <w:tr w14:paraId="5F471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815" w:type="dxa"/>
            <w:noWrap w:val="0"/>
            <w:vAlign w:val="center"/>
          </w:tcPr>
          <w:p w14:paraId="1CAC80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207" w:type="dxa"/>
            <w:noWrap w:val="0"/>
            <w:vAlign w:val="center"/>
          </w:tcPr>
          <w:p w14:paraId="4C3C39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名称</w:t>
            </w:r>
          </w:p>
        </w:tc>
        <w:tc>
          <w:tcPr>
            <w:tcW w:w="7705" w:type="dxa"/>
            <w:noWrap w:val="0"/>
            <w:vAlign w:val="center"/>
          </w:tcPr>
          <w:p w14:paraId="41F1CC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技术参数</w:t>
            </w:r>
          </w:p>
        </w:tc>
        <w:tc>
          <w:tcPr>
            <w:tcW w:w="888" w:type="dxa"/>
            <w:noWrap w:val="0"/>
            <w:vAlign w:val="center"/>
          </w:tcPr>
          <w:p w14:paraId="625C8F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984" w:type="dxa"/>
            <w:noWrap w:val="0"/>
            <w:vAlign w:val="center"/>
          </w:tcPr>
          <w:p w14:paraId="69F82A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1943" w:type="dxa"/>
            <w:noWrap w:val="0"/>
            <w:vAlign w:val="center"/>
          </w:tcPr>
          <w:p w14:paraId="26A695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备注</w:t>
            </w:r>
          </w:p>
        </w:tc>
      </w:tr>
      <w:tr w14:paraId="3C519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15" w:type="dxa"/>
            <w:noWrap w:val="0"/>
            <w:vAlign w:val="center"/>
          </w:tcPr>
          <w:p w14:paraId="04F449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2207" w:type="dxa"/>
            <w:noWrap w:val="0"/>
            <w:vAlign w:val="center"/>
          </w:tcPr>
          <w:p w14:paraId="3C81E3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交换机</w:t>
            </w:r>
          </w:p>
        </w:tc>
        <w:tc>
          <w:tcPr>
            <w:tcW w:w="7705" w:type="dxa"/>
            <w:noWrap w:val="0"/>
            <w:vAlign w:val="center"/>
          </w:tcPr>
          <w:p w14:paraId="496C14E6">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1.交换容量</w:t>
            </w:r>
            <w:r>
              <w:rPr>
                <w:rFonts w:hint="eastAsia" w:ascii="宋体" w:hAnsi="宋体" w:eastAsia="宋体" w:cs="宋体"/>
                <w:b w:val="0"/>
                <w:bCs w:val="0"/>
                <w:color w:val="auto"/>
                <w:sz w:val="18"/>
                <w:szCs w:val="18"/>
                <w:highlight w:val="none"/>
                <w:lang w:val="en-US" w:eastAsia="zh-CN"/>
              </w:rPr>
              <w:t>≥</w:t>
            </w:r>
            <w:r>
              <w:rPr>
                <w:rFonts w:hint="eastAsia" w:ascii="宋体" w:hAnsi="宋体" w:eastAsia="宋体" w:cs="宋体"/>
                <w:color w:val="auto"/>
                <w:sz w:val="18"/>
                <w:szCs w:val="18"/>
                <w:highlight w:val="none"/>
                <w:lang w:val="en-US" w:eastAsia="zh-CN"/>
              </w:rPr>
              <w:t>396GT，包转发率≥570Mpps（若官网有A/B两值，以小值为准）；</w:t>
            </w:r>
          </w:p>
          <w:p w14:paraId="343B9920">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2.24口10/100/1000Mbps自适应电口交换机，固化4个SFP千兆光口；</w:t>
            </w:r>
          </w:p>
          <w:p w14:paraId="30A46892">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3.支持RIP，OSPF，BGP，RIPng，OSPFv3，BGP4+；</w:t>
            </w:r>
          </w:p>
          <w:p w14:paraId="7975C7D7">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4.支持端口镜像功能，支持多对一端口镜像及一对多端口镜像，支持跨交换机的远程端口镜像功能RSPAN，支持聚合链路的镜像。</w:t>
            </w:r>
          </w:p>
          <w:p w14:paraId="20939F77">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5. 品牌要求 ：投标产品须为国际或国内主流网络设备品牌。</w:t>
            </w:r>
          </w:p>
          <w:p w14:paraId="67967535">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 软件升级 ：供应商须承诺在质保期内免费提供最新的稳定版操作系统/固件。</w:t>
            </w:r>
          </w:p>
          <w:p w14:paraId="51D708D5">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7. 质保服务 ：提供原厂3年及以上质保。</w:t>
            </w:r>
          </w:p>
          <w:p w14:paraId="728D4D62">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8. 认证要求 ：签订合同时需提供 3C认证证书。</w:t>
            </w:r>
          </w:p>
        </w:tc>
        <w:tc>
          <w:tcPr>
            <w:tcW w:w="888" w:type="dxa"/>
            <w:noWrap w:val="0"/>
            <w:vAlign w:val="center"/>
          </w:tcPr>
          <w:p w14:paraId="592FFC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984" w:type="dxa"/>
            <w:noWrap w:val="0"/>
            <w:vAlign w:val="center"/>
          </w:tcPr>
          <w:p w14:paraId="2B0173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c>
          <w:tcPr>
            <w:tcW w:w="1943" w:type="dxa"/>
            <w:noWrap w:val="0"/>
            <w:vAlign w:val="center"/>
          </w:tcPr>
          <w:p w14:paraId="7F6F45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0929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14:paraId="46E77C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2207" w:type="dxa"/>
            <w:noWrap w:val="0"/>
            <w:vAlign w:val="center"/>
          </w:tcPr>
          <w:p w14:paraId="09B64E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电脑</w:t>
            </w:r>
          </w:p>
        </w:tc>
        <w:tc>
          <w:tcPr>
            <w:tcW w:w="7705" w:type="dxa"/>
            <w:noWrap w:val="0"/>
            <w:vAlign w:val="center"/>
          </w:tcPr>
          <w:p w14:paraId="5D71FE8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1.主板：Intel 芯片组，</w:t>
            </w: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B760M-G 企业级主板（主板、电源等关键部件有原厂商统一品牌标志）；</w:t>
            </w:r>
          </w:p>
          <w:p w14:paraId="4BF0F29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2.CPU:最新第十四代Intel 酷睿I5-14400F处理器以上CPU，六核十二线程，主频</w:t>
            </w: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2.5GHz，睿频</w:t>
            </w: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4.4GHz；</w:t>
            </w:r>
          </w:p>
          <w:p w14:paraId="294B59F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4.内存:</w:t>
            </w: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16G DDR5 6000 ，四卡槽；</w:t>
            </w:r>
          </w:p>
          <w:p w14:paraId="1A1FD50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5.硬盘：</w:t>
            </w: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512G M2 固态硬盘  支持HDD+SSD双硬盘；</w:t>
            </w:r>
          </w:p>
          <w:p w14:paraId="7000343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6.网卡:千兆以太网卡；</w:t>
            </w:r>
          </w:p>
          <w:p w14:paraId="63D410C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7.显卡：</w:t>
            </w: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RTX5060  8G；</w:t>
            </w:r>
          </w:p>
          <w:p w14:paraId="1607F0B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8.接口:8个外置USB接口 ,其中USB3.2</w:t>
            </w: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4 USB2.0</w:t>
            </w: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4。Kensington 线缆锁插槽；视频接口:一个VGA接口和一个HDMI接口;</w:t>
            </w:r>
          </w:p>
          <w:p w14:paraId="7448FE6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9.扩展插槽: </w:t>
            </w: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 xml:space="preserve">1个PCIe x16 </w:t>
            </w: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 xml:space="preserve">2个PCIe x1 </w:t>
            </w: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1个PCI插槽；</w:t>
            </w:r>
          </w:p>
          <w:p w14:paraId="2092D86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10.电源：EPA电源，功率</w:t>
            </w: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650W，80plus认证；</w:t>
            </w:r>
          </w:p>
          <w:p w14:paraId="05EE503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11.CPU自带导风罩，可以有效提高散热及灰尘的进入，减少机器的故障率，提升机器的使用寿命；</w:t>
            </w:r>
          </w:p>
          <w:p w14:paraId="2514A0F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12.机箱自带提手，方便搬运，高整机防盗设计，主机配置防盗锁孔，后置电源故障诊断灯，便于快速定位设备故障原因；</w:t>
            </w:r>
          </w:p>
          <w:p w14:paraId="2FD93B7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13.机箱大小:机箱容量不小于14.7L；</w:t>
            </w:r>
          </w:p>
          <w:p w14:paraId="33F8B9F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14.显示器:</w:t>
            </w:r>
            <w:r>
              <w:rPr>
                <w:rFonts w:hint="eastAsia" w:ascii="宋体" w:hAnsi="宋体" w:eastAsia="宋体" w:cs="宋体"/>
                <w:b/>
                <w:bCs/>
                <w:i w:val="0"/>
                <w:iCs w:val="0"/>
                <w:color w:val="auto"/>
                <w:kern w:val="0"/>
                <w:sz w:val="18"/>
                <w:szCs w:val="18"/>
                <w:highlight w:val="none"/>
                <w:u w:val="none"/>
                <w:lang w:val="en-US" w:eastAsia="zh-CN" w:bidi="ar"/>
              </w:rPr>
              <w:t>品牌显示器</w:t>
            </w:r>
            <w:r>
              <w:rPr>
                <w:rFonts w:hint="eastAsia" w:ascii="宋体" w:hAnsi="宋体" w:eastAsia="宋体" w:cs="宋体"/>
                <w:color w:val="auto"/>
                <w:sz w:val="18"/>
                <w:szCs w:val="18"/>
                <w:highlight w:val="none"/>
                <w:lang w:val="en-US" w:eastAsia="zh-CN"/>
              </w:rPr>
              <w:t>≥</w:t>
            </w:r>
            <w:r>
              <w:rPr>
                <w:rFonts w:hint="eastAsia" w:ascii="宋体" w:hAnsi="宋体" w:eastAsia="宋体" w:cs="宋体"/>
                <w:b/>
                <w:bCs/>
                <w:i w:val="0"/>
                <w:iCs w:val="0"/>
                <w:color w:val="auto"/>
                <w:kern w:val="0"/>
                <w:sz w:val="18"/>
                <w:szCs w:val="18"/>
                <w:highlight w:val="none"/>
                <w:u w:val="none"/>
                <w:lang w:val="en-US" w:eastAsia="zh-CN" w:bidi="ar"/>
              </w:rPr>
              <w:t>24寸</w:t>
            </w:r>
            <w:r>
              <w:rPr>
                <w:rFonts w:hint="eastAsia" w:ascii="宋体" w:hAnsi="宋体" w:eastAsia="宋体" w:cs="宋体"/>
                <w:i w:val="0"/>
                <w:iCs w:val="0"/>
                <w:color w:val="auto"/>
                <w:kern w:val="0"/>
                <w:sz w:val="18"/>
                <w:szCs w:val="18"/>
                <w:highlight w:val="none"/>
                <w:u w:val="none"/>
                <w:lang w:val="en-US" w:eastAsia="zh-CN" w:bidi="ar"/>
              </w:rPr>
              <w:t>,分辨率</w:t>
            </w: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1080，刷新率</w:t>
            </w: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75HZ；</w:t>
            </w:r>
          </w:p>
          <w:p w14:paraId="6AF7D88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15.键鼠:USB键盘和鼠标；</w:t>
            </w:r>
          </w:p>
          <w:p w14:paraId="4B8E2CB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16.为方便电脑之间传输，提升授课效率，机器自带网络同传功能（非外加同传卡），同时安装多台机器程序；</w:t>
            </w:r>
          </w:p>
          <w:p w14:paraId="78F486F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17.</w:t>
            </w:r>
            <w:r>
              <w:rPr>
                <w:rFonts w:hint="eastAsia" w:ascii="宋体" w:hAnsi="宋体" w:eastAsia="宋体" w:cs="宋体"/>
                <w:color w:val="auto"/>
                <w:sz w:val="18"/>
                <w:szCs w:val="18"/>
                <w:highlight w:val="none"/>
                <w:lang w:val="en-US" w:eastAsia="zh-CN"/>
              </w:rPr>
              <w:t>保修：整机提供两年质保及免费上门服务。</w:t>
            </w:r>
          </w:p>
        </w:tc>
        <w:tc>
          <w:tcPr>
            <w:tcW w:w="888" w:type="dxa"/>
            <w:noWrap w:val="0"/>
            <w:vAlign w:val="center"/>
          </w:tcPr>
          <w:p w14:paraId="32CEEA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60</w:t>
            </w:r>
          </w:p>
        </w:tc>
        <w:tc>
          <w:tcPr>
            <w:tcW w:w="984" w:type="dxa"/>
            <w:noWrap w:val="0"/>
            <w:vAlign w:val="center"/>
          </w:tcPr>
          <w:p w14:paraId="40F150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台</w:t>
            </w:r>
          </w:p>
        </w:tc>
        <w:tc>
          <w:tcPr>
            <w:tcW w:w="1943" w:type="dxa"/>
            <w:noWrap w:val="0"/>
            <w:vAlign w:val="center"/>
          </w:tcPr>
          <w:p w14:paraId="256269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A489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0" w:hRule="atLeast"/>
          <w:jc w:val="center"/>
        </w:trPr>
        <w:tc>
          <w:tcPr>
            <w:tcW w:w="815" w:type="dxa"/>
            <w:noWrap w:val="0"/>
            <w:vAlign w:val="center"/>
          </w:tcPr>
          <w:p w14:paraId="2044B4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2207" w:type="dxa"/>
            <w:noWrap w:val="0"/>
            <w:vAlign w:val="center"/>
          </w:tcPr>
          <w:p w14:paraId="591AF3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桌椅</w:t>
            </w:r>
          </w:p>
        </w:tc>
        <w:tc>
          <w:tcPr>
            <w:tcW w:w="7705" w:type="dxa"/>
            <w:noWrap w:val="0"/>
            <w:vAlign w:val="center"/>
          </w:tcPr>
          <w:p w14:paraId="57C563D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1.规格：桌</w:t>
            </w:r>
            <w:r>
              <w:rPr>
                <w:rFonts w:hint="eastAsia" w:ascii="宋体" w:hAnsi="宋体" w:eastAsia="宋体" w:cs="宋体"/>
                <w:b w:val="0"/>
                <w:bCs w:val="0"/>
                <w:color w:val="auto"/>
                <w:sz w:val="18"/>
                <w:szCs w:val="18"/>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1400*550*750mm；椅</w:t>
            </w:r>
            <w:r>
              <w:rPr>
                <w:rFonts w:hint="eastAsia" w:ascii="宋体" w:hAnsi="宋体" w:eastAsia="宋体" w:cs="宋体"/>
                <w:b w:val="0"/>
                <w:bCs w:val="0"/>
                <w:color w:val="auto"/>
                <w:sz w:val="18"/>
                <w:szCs w:val="18"/>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340*240*450mm；</w:t>
            </w:r>
          </w:p>
          <w:p w14:paraId="7531F63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2.钢管厚度</w:t>
            </w:r>
            <w:r>
              <w:rPr>
                <w:rFonts w:hint="eastAsia" w:ascii="宋体" w:hAnsi="宋体" w:eastAsia="宋体" w:cs="宋体"/>
                <w:b w:val="0"/>
                <w:bCs w:val="0"/>
                <w:color w:val="auto"/>
                <w:sz w:val="18"/>
                <w:szCs w:val="18"/>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1.2mm厚，采用高温喷涂处理，使用漆洁合力提高；基材表面亚光静电喷塑。所有基材均经耐酸碱、防虫、防腐等特殊处理.面材：选用防火板贴面，硬度高，耐磨、耐热性好，表面平滑光洁，容易维护清洗，厚度</w:t>
            </w:r>
            <w:r>
              <w:rPr>
                <w:rFonts w:hint="eastAsia" w:ascii="宋体" w:hAnsi="宋体" w:eastAsia="宋体" w:cs="宋体"/>
                <w:b w:val="0"/>
                <w:bCs w:val="0"/>
                <w:color w:val="auto"/>
                <w:sz w:val="18"/>
                <w:szCs w:val="18"/>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2.5mm。材质：E1级优质颗粒板基材，拼缝精良,热压粘实,保持张力一致,不易变形；</w:t>
            </w:r>
          </w:p>
          <w:p w14:paraId="123AFFD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3.封边：封边严密、平整，与整块板材严丝合缝，不允许脱胶、表面有胶渍；</w:t>
            </w:r>
          </w:p>
          <w:p w14:paraId="614C01F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4.五金件：优质五金配件，表面经镀铬处理，美观经久耐；</w:t>
            </w:r>
          </w:p>
          <w:p w14:paraId="52E1B05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5.1年质保+售后维护。</w:t>
            </w:r>
          </w:p>
        </w:tc>
        <w:tc>
          <w:tcPr>
            <w:tcW w:w="888" w:type="dxa"/>
            <w:noWrap w:val="0"/>
            <w:vAlign w:val="center"/>
          </w:tcPr>
          <w:p w14:paraId="3CD412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30</w:t>
            </w:r>
          </w:p>
        </w:tc>
        <w:tc>
          <w:tcPr>
            <w:tcW w:w="984" w:type="dxa"/>
            <w:noWrap w:val="0"/>
            <w:vAlign w:val="center"/>
          </w:tcPr>
          <w:p w14:paraId="78EA50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c>
          <w:tcPr>
            <w:tcW w:w="1943" w:type="dxa"/>
            <w:noWrap w:val="0"/>
            <w:vAlign w:val="center"/>
          </w:tcPr>
          <w:p w14:paraId="308347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highlight w:val="none"/>
              </w:rPr>
              <w:drawing>
                <wp:anchor distT="0" distB="0" distL="114300" distR="114300" simplePos="0" relativeHeight="251672576" behindDoc="0" locked="0" layoutInCell="1" allowOverlap="1">
                  <wp:simplePos x="0" y="0"/>
                  <wp:positionH relativeFrom="column">
                    <wp:posOffset>0</wp:posOffset>
                  </wp:positionH>
                  <wp:positionV relativeFrom="paragraph">
                    <wp:posOffset>192405</wp:posOffset>
                  </wp:positionV>
                  <wp:extent cx="1179830" cy="1139825"/>
                  <wp:effectExtent l="0" t="0" r="1270" b="3175"/>
                  <wp:wrapTopAndBottom/>
                  <wp:docPr id="5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4"/>
                          <pic:cNvPicPr>
                            <a:picLocks noChangeAspect="1"/>
                          </pic:cNvPicPr>
                        </pic:nvPicPr>
                        <pic:blipFill>
                          <a:blip r:embed="rId41"/>
                          <a:stretch>
                            <a:fillRect/>
                          </a:stretch>
                        </pic:blipFill>
                        <pic:spPr>
                          <a:xfrm>
                            <a:off x="0" y="0"/>
                            <a:ext cx="1179830" cy="1139825"/>
                          </a:xfrm>
                          <a:prstGeom prst="rect">
                            <a:avLst/>
                          </a:prstGeom>
                          <a:noFill/>
                          <a:ln>
                            <a:noFill/>
                          </a:ln>
                        </pic:spPr>
                      </pic:pic>
                    </a:graphicData>
                  </a:graphic>
                </wp:anchor>
              </w:drawing>
            </w:r>
          </w:p>
        </w:tc>
      </w:tr>
      <w:tr w14:paraId="30EF3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14:paraId="5DECDE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2207" w:type="dxa"/>
            <w:noWrap w:val="0"/>
            <w:vAlign w:val="center"/>
          </w:tcPr>
          <w:p w14:paraId="2B2CD0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机柜</w:t>
            </w:r>
          </w:p>
        </w:tc>
        <w:tc>
          <w:tcPr>
            <w:tcW w:w="7705" w:type="dxa"/>
            <w:noWrap w:val="0"/>
            <w:vAlign w:val="center"/>
          </w:tcPr>
          <w:p w14:paraId="31FF564F">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1、参数要求</w:t>
            </w:r>
            <w:r>
              <w:rPr>
                <w:rFonts w:hint="eastAsia" w:ascii="宋体" w:hAnsi="宋体" w:eastAsia="宋体" w:cs="宋体"/>
                <w:b w:val="0"/>
                <w:bCs w:val="0"/>
                <w:color w:val="auto"/>
                <w:sz w:val="18"/>
                <w:szCs w:val="18"/>
                <w:highlight w:val="none"/>
                <w:lang w:val="en-US" w:eastAsia="zh-CN"/>
              </w:rPr>
              <w:t>≥</w:t>
            </w:r>
            <w:r>
              <w:rPr>
                <w:rFonts w:hint="eastAsia" w:ascii="宋体" w:hAnsi="宋体" w:eastAsia="宋体" w:cs="宋体"/>
                <w:color w:val="auto"/>
                <w:kern w:val="0"/>
                <w:sz w:val="18"/>
                <w:szCs w:val="18"/>
                <w:highlight w:val="none"/>
                <w:lang w:val="en-US" w:eastAsia="zh-CN" w:bidi="ar"/>
              </w:rPr>
              <w:t>600*800*1200mm，整体框架结构，材料：框架: SPCC优质冷轧钢板；厚度：方孔条</w:t>
            </w:r>
            <w:r>
              <w:rPr>
                <w:rFonts w:hint="eastAsia" w:ascii="宋体" w:hAnsi="宋体" w:eastAsia="宋体" w:cs="宋体"/>
                <w:b w:val="0"/>
                <w:bCs w:val="0"/>
                <w:color w:val="auto"/>
                <w:sz w:val="18"/>
                <w:szCs w:val="18"/>
                <w:highlight w:val="none"/>
                <w:lang w:val="en-US" w:eastAsia="zh-CN"/>
              </w:rPr>
              <w:t>≥</w:t>
            </w:r>
            <w:r>
              <w:rPr>
                <w:rFonts w:hint="eastAsia" w:ascii="宋体" w:hAnsi="宋体" w:eastAsia="宋体" w:cs="宋体"/>
                <w:color w:val="auto"/>
                <w:kern w:val="0"/>
                <w:sz w:val="18"/>
                <w:szCs w:val="18"/>
                <w:highlight w:val="none"/>
                <w:lang w:val="en-US" w:eastAsia="zh-CN" w:bidi="ar"/>
              </w:rPr>
              <w:t>2.0mm，安装梁</w:t>
            </w:r>
            <w:r>
              <w:rPr>
                <w:rFonts w:hint="eastAsia" w:ascii="宋体" w:hAnsi="宋体" w:eastAsia="宋体" w:cs="宋体"/>
                <w:b w:val="0"/>
                <w:bCs w:val="0"/>
                <w:color w:val="auto"/>
                <w:sz w:val="18"/>
                <w:szCs w:val="18"/>
                <w:highlight w:val="none"/>
                <w:lang w:val="en-US" w:eastAsia="zh-CN"/>
              </w:rPr>
              <w:t>≥</w:t>
            </w:r>
            <w:r>
              <w:rPr>
                <w:rFonts w:hint="eastAsia" w:ascii="宋体" w:hAnsi="宋体" w:eastAsia="宋体" w:cs="宋体"/>
                <w:color w:val="auto"/>
                <w:kern w:val="0"/>
                <w:sz w:val="18"/>
                <w:szCs w:val="18"/>
                <w:highlight w:val="none"/>
                <w:lang w:val="en-US" w:eastAsia="zh-CN" w:bidi="ar"/>
              </w:rPr>
              <w:t>1.2mm，侧门</w:t>
            </w:r>
            <w:r>
              <w:rPr>
                <w:rFonts w:hint="eastAsia" w:ascii="宋体" w:hAnsi="宋体" w:eastAsia="宋体" w:cs="宋体"/>
                <w:b w:val="0"/>
                <w:bCs w:val="0"/>
                <w:color w:val="auto"/>
                <w:sz w:val="18"/>
                <w:szCs w:val="18"/>
                <w:highlight w:val="none"/>
                <w:lang w:val="en-US" w:eastAsia="zh-CN"/>
              </w:rPr>
              <w:t>≥</w:t>
            </w:r>
            <w:r>
              <w:rPr>
                <w:rFonts w:hint="eastAsia" w:ascii="宋体" w:hAnsi="宋体" w:eastAsia="宋体" w:cs="宋体"/>
                <w:color w:val="auto"/>
                <w:kern w:val="0"/>
                <w:sz w:val="18"/>
                <w:szCs w:val="18"/>
                <w:highlight w:val="none"/>
                <w:lang w:val="en-US" w:eastAsia="zh-CN" w:bidi="ar"/>
              </w:rPr>
              <w:t>1.0mm，其它</w:t>
            </w:r>
            <w:r>
              <w:rPr>
                <w:rFonts w:hint="eastAsia" w:ascii="宋体" w:hAnsi="宋体" w:eastAsia="宋体" w:cs="宋体"/>
                <w:b w:val="0"/>
                <w:bCs w:val="0"/>
                <w:color w:val="auto"/>
                <w:sz w:val="18"/>
                <w:szCs w:val="18"/>
                <w:highlight w:val="none"/>
                <w:lang w:val="en-US" w:eastAsia="zh-CN"/>
              </w:rPr>
              <w:t>≥</w:t>
            </w:r>
            <w:r>
              <w:rPr>
                <w:rFonts w:hint="eastAsia" w:ascii="宋体" w:hAnsi="宋体" w:eastAsia="宋体" w:cs="宋体"/>
                <w:color w:val="auto"/>
                <w:kern w:val="0"/>
                <w:sz w:val="18"/>
                <w:szCs w:val="18"/>
                <w:highlight w:val="none"/>
                <w:lang w:val="en-US" w:eastAsia="zh-CN" w:bidi="ar"/>
              </w:rPr>
              <w:t>1.2mm；高级旋把门锁。承重</w:t>
            </w:r>
            <w:r>
              <w:rPr>
                <w:rFonts w:hint="eastAsia" w:ascii="宋体" w:hAnsi="宋体" w:eastAsia="宋体" w:cs="宋体"/>
                <w:b w:val="0"/>
                <w:bCs w:val="0"/>
                <w:color w:val="auto"/>
                <w:sz w:val="18"/>
                <w:szCs w:val="18"/>
                <w:highlight w:val="none"/>
                <w:lang w:val="en-US" w:eastAsia="zh-CN"/>
              </w:rPr>
              <w:t>≥</w:t>
            </w:r>
            <w:r>
              <w:rPr>
                <w:rFonts w:hint="eastAsia" w:ascii="宋体" w:hAnsi="宋体" w:eastAsia="宋体" w:cs="宋体"/>
                <w:color w:val="auto"/>
                <w:kern w:val="0"/>
                <w:sz w:val="18"/>
                <w:szCs w:val="18"/>
                <w:highlight w:val="none"/>
                <w:lang w:val="en-US" w:eastAsia="zh-CN" w:bidi="ar"/>
              </w:rPr>
              <w:t>800kg.整体机架，前后网孔门，机柜顶部四个全静音风扇，保证内部良好通风及散热，封闭式电缆管理，电缆从顶部或底部进入；侧门可拆卸。在前后门安装6个缓冲垫，有明显的提示标签，机柜带有独立防静电接地系统系统，安装立柱可调整，可提供机柜并柜件。</w:t>
            </w:r>
          </w:p>
          <w:p w14:paraId="4D6E73B9">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2、配件：一个10A6位PDU电源，3个层板，4个风扇，40套M6卡扣安装螺丝，地脚螺钉4颗。</w:t>
            </w:r>
          </w:p>
          <w:p w14:paraId="0E338887">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kern w:val="0"/>
                <w:sz w:val="18"/>
                <w:szCs w:val="18"/>
                <w:highlight w:val="none"/>
                <w:lang w:val="en-US" w:eastAsia="zh-CN" w:bidi="ar"/>
              </w:rPr>
              <w:t>3、质量保障：制造商通过国际质量体系ISO9000、CE、ROHS等认证。</w:t>
            </w:r>
          </w:p>
        </w:tc>
        <w:tc>
          <w:tcPr>
            <w:tcW w:w="888" w:type="dxa"/>
            <w:noWrap w:val="0"/>
            <w:vAlign w:val="center"/>
          </w:tcPr>
          <w:p w14:paraId="552946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984" w:type="dxa"/>
            <w:noWrap w:val="0"/>
            <w:vAlign w:val="center"/>
          </w:tcPr>
          <w:p w14:paraId="789CF3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c>
          <w:tcPr>
            <w:tcW w:w="1943" w:type="dxa"/>
            <w:noWrap w:val="0"/>
            <w:vAlign w:val="center"/>
          </w:tcPr>
          <w:p w14:paraId="05B529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E353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14:paraId="6AA2B5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2207" w:type="dxa"/>
            <w:noWrap w:val="0"/>
            <w:vAlign w:val="center"/>
          </w:tcPr>
          <w:p w14:paraId="6AA1CBD6">
            <w:pPr>
              <w:pStyle w:val="29"/>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sz w:val="18"/>
                <w:szCs w:val="18"/>
                <w:highlight w:val="none"/>
              </w:rPr>
              <w:t>网络同传</w:t>
            </w:r>
            <w:r>
              <w:rPr>
                <w:rFonts w:hint="eastAsia" w:ascii="宋体" w:hAnsi="宋体" w:eastAsia="宋体" w:cs="宋体"/>
                <w:color w:val="auto"/>
                <w:sz w:val="18"/>
                <w:szCs w:val="18"/>
                <w:highlight w:val="none"/>
                <w:lang w:val="en-US" w:eastAsia="zh-CN"/>
              </w:rPr>
              <w:t>机房管理系统</w:t>
            </w:r>
          </w:p>
        </w:tc>
        <w:tc>
          <w:tcPr>
            <w:tcW w:w="7705" w:type="dxa"/>
            <w:noWrap w:val="0"/>
            <w:vAlign w:val="center"/>
          </w:tcPr>
          <w:p w14:paraId="68E38A9F">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网络同传 出厂预装硬盘版网络同传软件，</w:t>
            </w:r>
          </w:p>
          <w:p w14:paraId="67056CA0">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1、</w:t>
            </w:r>
            <w:r>
              <w:rPr>
                <w:rFonts w:hint="eastAsia" w:ascii="宋体" w:hAnsi="宋体" w:eastAsia="宋体" w:cs="宋体"/>
                <w:color w:val="auto"/>
                <w:sz w:val="18"/>
                <w:szCs w:val="18"/>
                <w:highlight w:val="none"/>
                <w:lang w:val="en-US" w:eastAsia="zh-CN"/>
              </w:rPr>
              <w:t>保护/恢复数据：可对单分区、多分区经行快速保护和快速恢复数据。并且隐藏启动界面，隐藏操作员界面，隐藏恢复进度条。</w:t>
            </w:r>
          </w:p>
          <w:p w14:paraId="1BEE1D1C">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2、</w:t>
            </w:r>
            <w:r>
              <w:rPr>
                <w:rFonts w:hint="eastAsia" w:ascii="宋体" w:hAnsi="宋体" w:eastAsia="宋体" w:cs="宋体"/>
                <w:color w:val="auto"/>
                <w:sz w:val="18"/>
                <w:szCs w:val="18"/>
                <w:highlight w:val="none"/>
                <w:lang w:val="en-US" w:eastAsia="zh-CN"/>
              </w:rPr>
              <w:t>智能同传：安装部署方便，支持传统BIOS主板及UEFI主板；支持XP、Windows7 32/64、Windows8 32/64、Windows10 32/64、Windows11等操作系统；</w:t>
            </w:r>
          </w:p>
          <w:p w14:paraId="0D906483">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3、</w:t>
            </w:r>
            <w:r>
              <w:rPr>
                <w:rFonts w:hint="eastAsia" w:ascii="宋体" w:hAnsi="宋体" w:eastAsia="宋体" w:cs="宋体"/>
                <w:color w:val="auto"/>
                <w:sz w:val="18"/>
                <w:szCs w:val="18"/>
                <w:highlight w:val="none"/>
                <w:lang w:val="en-US" w:eastAsia="zh-CN"/>
              </w:rPr>
              <w:t>网络对拷：支持PXE网卡引导，需同传的机子不管有没有系统都可进行快速部署。即使接收端硬盘状态不一，也能“增量对拷”，并智能化计算后传送最少数据量。</w:t>
            </w:r>
          </w:p>
          <w:p w14:paraId="5B8673E3">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4、</w:t>
            </w:r>
            <w:r>
              <w:rPr>
                <w:rFonts w:hint="eastAsia" w:ascii="宋体" w:hAnsi="宋体" w:eastAsia="宋体" w:cs="宋体"/>
                <w:color w:val="auto"/>
                <w:sz w:val="18"/>
                <w:szCs w:val="18"/>
                <w:highlight w:val="none"/>
                <w:lang w:val="en-US" w:eastAsia="zh-CN"/>
              </w:rPr>
              <w:t>本地硬盘复制:同时支持本地1对3块硬盘复制，可以一对三进行硬盘对拷完，方便少数故障机快速恢复正常状态。系统克隆：在同一块硬盘上可以同时复制多个相同的操作系统到其他分区。可以在一块硬盘上克隆多个系统，快速部署，满足不同场景下的教学环境需求。</w:t>
            </w:r>
          </w:p>
          <w:p w14:paraId="341BC9B2">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5、</w:t>
            </w:r>
            <w:r>
              <w:rPr>
                <w:rFonts w:hint="eastAsia" w:ascii="宋体" w:hAnsi="宋体" w:eastAsia="宋体" w:cs="宋体"/>
                <w:color w:val="auto"/>
                <w:sz w:val="18"/>
                <w:szCs w:val="18"/>
                <w:highlight w:val="none"/>
                <w:lang w:val="en-US" w:eastAsia="zh-CN"/>
              </w:rPr>
              <w:t>远程锁定：管理端可远程锁定客户端的鼠标、键盘或屏幕。</w:t>
            </w:r>
            <w:r>
              <w:rPr>
                <w:rFonts w:hint="eastAsia" w:ascii="宋体" w:hAnsi="宋体" w:eastAsia="宋体" w:cs="宋体"/>
                <w:color w:val="auto"/>
                <w:sz w:val="18"/>
                <w:szCs w:val="18"/>
                <w:highlight w:val="none"/>
                <w:lang w:val="en-US" w:eastAsia="zh-CN"/>
              </w:rPr>
              <w:tab/>
            </w:r>
          </w:p>
          <w:p w14:paraId="29130F61">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6、</w:t>
            </w:r>
            <w:r>
              <w:rPr>
                <w:rFonts w:hint="eastAsia" w:ascii="宋体" w:hAnsi="宋体" w:eastAsia="宋体" w:cs="宋体"/>
                <w:color w:val="auto"/>
                <w:sz w:val="18"/>
                <w:szCs w:val="18"/>
                <w:highlight w:val="none"/>
                <w:lang w:val="en-US" w:eastAsia="zh-CN"/>
              </w:rPr>
              <w:t>排程设置：设定时间后自动开机进行网络同传，完成后所有计算机自动关机。</w:t>
            </w:r>
          </w:p>
          <w:p w14:paraId="62B55DBE">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7、</w:t>
            </w:r>
            <w:r>
              <w:rPr>
                <w:rFonts w:hint="eastAsia" w:ascii="宋体" w:hAnsi="宋体" w:eastAsia="宋体" w:cs="宋体"/>
                <w:color w:val="auto"/>
                <w:sz w:val="18"/>
                <w:szCs w:val="18"/>
                <w:highlight w:val="none"/>
                <w:lang w:val="en-US" w:eastAsia="zh-CN"/>
              </w:rPr>
              <w:t>资产管理:管理端可对客户端的软硬件信息进行资产盘点，并导出Doc或Excel文件以便保存。</w:t>
            </w:r>
          </w:p>
          <w:p w14:paraId="029E2A53">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8、</w:t>
            </w:r>
            <w:r>
              <w:rPr>
                <w:rFonts w:hint="eastAsia" w:ascii="宋体" w:hAnsi="宋体" w:eastAsia="宋体" w:cs="宋体"/>
                <w:color w:val="auto"/>
                <w:sz w:val="18"/>
                <w:szCs w:val="18"/>
                <w:highlight w:val="none"/>
                <w:lang w:val="en-US" w:eastAsia="zh-CN"/>
              </w:rPr>
              <w:t>产品升级：管理端可下发升级包在几分钟内就升级所有客户端程序。</w:t>
            </w:r>
          </w:p>
          <w:p w14:paraId="1554746E">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9、</w:t>
            </w:r>
            <w:r>
              <w:rPr>
                <w:rFonts w:hint="eastAsia" w:ascii="宋体" w:hAnsi="宋体" w:eastAsia="宋体" w:cs="宋体"/>
                <w:color w:val="auto"/>
                <w:sz w:val="18"/>
                <w:szCs w:val="18"/>
                <w:highlight w:val="none"/>
                <w:lang w:val="en-US" w:eastAsia="zh-CN"/>
              </w:rPr>
              <w:t>电子教室：软件含电子教室功能，实现课堂教学老师对学生广播教学、学生演示、网页广播、电子点名、提交作业等多项教学互动功能。</w:t>
            </w:r>
          </w:p>
          <w:p w14:paraId="34E0A3E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kern w:val="2"/>
                <w:sz w:val="18"/>
                <w:szCs w:val="18"/>
                <w:highlight w:val="none"/>
                <w:lang w:val="en-US" w:eastAsia="zh-CN" w:bidi="ar-SA"/>
              </w:rPr>
              <w:t>10、</w:t>
            </w:r>
            <w:r>
              <w:rPr>
                <w:rFonts w:hint="eastAsia" w:ascii="宋体" w:hAnsi="宋体" w:eastAsia="宋体" w:cs="宋体"/>
                <w:color w:val="auto"/>
                <w:sz w:val="18"/>
                <w:szCs w:val="18"/>
                <w:highlight w:val="none"/>
                <w:lang w:val="en-US" w:eastAsia="zh-CN"/>
              </w:rPr>
              <w:t>客户端搜索：管理端可以抓取该局域网内的所有客户端，即便该客户端已登入其他管理端。便于一次性管理所有电脑教室。将系统被使用的情况都记录在日志文件内，以供需要时查询。</w:t>
            </w:r>
          </w:p>
        </w:tc>
        <w:tc>
          <w:tcPr>
            <w:tcW w:w="888" w:type="dxa"/>
            <w:noWrap w:val="0"/>
            <w:vAlign w:val="center"/>
          </w:tcPr>
          <w:p w14:paraId="251891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984" w:type="dxa"/>
            <w:noWrap w:val="0"/>
            <w:vAlign w:val="center"/>
          </w:tcPr>
          <w:p w14:paraId="6468FE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c>
          <w:tcPr>
            <w:tcW w:w="1943" w:type="dxa"/>
            <w:noWrap w:val="0"/>
            <w:vAlign w:val="center"/>
          </w:tcPr>
          <w:p w14:paraId="1D491F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B8B9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14:paraId="08E0E2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w:t>
            </w:r>
          </w:p>
        </w:tc>
        <w:tc>
          <w:tcPr>
            <w:tcW w:w="2207" w:type="dxa"/>
            <w:noWrap w:val="0"/>
            <w:vAlign w:val="center"/>
          </w:tcPr>
          <w:p w14:paraId="6A73AF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教学管理软件</w:t>
            </w:r>
          </w:p>
        </w:tc>
        <w:tc>
          <w:tcPr>
            <w:tcW w:w="7705" w:type="dxa"/>
            <w:noWrap w:val="0"/>
            <w:vAlign w:val="center"/>
          </w:tcPr>
          <w:p w14:paraId="2C7B8701">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sz w:val="18"/>
                <w:szCs w:val="18"/>
                <w:highlight w:val="none"/>
                <w:lang w:val="en-US" w:eastAsia="zh-CN"/>
              </w:rPr>
              <w:t>1、屏幕广播：将教师机屏幕和教师讲话实时广播给单一、部分或全体学生，可选择全屏或窗口方式。</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2、共享白板：教师可共享白板、桌面或图片与选定的学生共同完成相同的学习任务或绘画作品，提供学生也可以单独完成。</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3、网络影院：实现教师机播放的视频同步广播到学生机。</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4、屏幕录制：教师机可以将本地的操作和讲解过程录制为mp4录像文件，可以用 Windows 自带的 Media Player 直接播放。</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5、学生端屏幕录制、回放：学生端接收教师端广播的时候可以自动录制教师机广播教学的过程，课后可以重复观看学习。</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文件分发：允许教师将教师机不同盘符中的目录或文件一起发送至生机的某目录下。目录不存在自动新建此目录；盘符不存在或路径非法不允许分发；文件已存在选择自动覆盖或保留原始文件。</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6、文件提交：学生把做好的作业直接提交到教师机，方便教师批改作业要收取的麻烦。</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7、屏幕监视：教师机可以监视单一、部分、全体学生机的屏幕，教师机每屏可监视多个学生屏幕（方便监视操作及查看）。可以控制教师机监控的同屏幕各窗口间、屏幕与屏幕间的切换速度。可手动或自动循环监视。</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8、网页限制：设定学生访问网站的黑名单或白名单，对学生可以访问的Internet站点进行管理。支持多浏览器限制，如QQ、IE、谷歌、360、遨游等浏览器。</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9、程序限制：通过各种策略的应用，可防止学生在教学过程中打游戏，或使用QQ，MSN等聊天工具，支持限制U盘，网络映射盘，硬盘虚拟盘，虚拟光盘，内存虚拟盘里的程序。</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10、自动锁屏：独有的断线保护自动锁屏技术，通过网卡的是否激活来锁定屏幕，避免学生拔掉网线违反纪律。</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11、防杀进程：为安全起见，学生端程序运行后，防止学生通过任务管理器结束学生端程序进程来逃脱教师控制。</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请求帮助：学生端遇到问题可请求帮助，教师端可远程遥控帮助学生解决问题。</w:t>
            </w:r>
          </w:p>
        </w:tc>
        <w:tc>
          <w:tcPr>
            <w:tcW w:w="888" w:type="dxa"/>
            <w:noWrap w:val="0"/>
            <w:vAlign w:val="center"/>
          </w:tcPr>
          <w:p w14:paraId="4BC897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984" w:type="dxa"/>
            <w:noWrap w:val="0"/>
            <w:vAlign w:val="center"/>
          </w:tcPr>
          <w:p w14:paraId="128865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c>
          <w:tcPr>
            <w:tcW w:w="1943" w:type="dxa"/>
            <w:noWrap w:val="0"/>
            <w:vAlign w:val="center"/>
          </w:tcPr>
          <w:p w14:paraId="11D661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F225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14:paraId="1445E3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w:t>
            </w:r>
          </w:p>
        </w:tc>
        <w:tc>
          <w:tcPr>
            <w:tcW w:w="2207" w:type="dxa"/>
            <w:noWrap w:val="0"/>
            <w:vAlign w:val="center"/>
          </w:tcPr>
          <w:p w14:paraId="752F51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静电地板</w:t>
            </w:r>
          </w:p>
        </w:tc>
        <w:tc>
          <w:tcPr>
            <w:tcW w:w="7705" w:type="dxa"/>
            <w:noWrap w:val="0"/>
            <w:vAlign w:val="center"/>
          </w:tcPr>
          <w:p w14:paraId="2DA1A7A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1.规格：600mm×600mm×35mm，地板表面为小兰花陶瓷面，厚度45mm，内腔填充发泡水泥。防水、防火、防潮性能，含各类配件；</w:t>
            </w:r>
          </w:p>
          <w:p w14:paraId="05A9128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2.产品具备高承载、防腐蚀，规格尺寸600mm*600mm*35mm，产品填充发泡水泥，支架厚度上不低于3mm下不低于2mm，横梁厚度不低于0.8mm。支架配比不低于3.2个/m2；横梁配比不低于5.2根/m2；</w:t>
            </w:r>
          </w:p>
          <w:p w14:paraId="2FCBB5D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3.集中载荷=2950N时挠度≤2.0mm、永久变形≤0.25mm；</w:t>
            </w:r>
          </w:p>
          <w:p w14:paraId="7A4ABF1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4.均布载荷=12500N/㎡  挠度≤2.0mm；</w:t>
            </w:r>
          </w:p>
          <w:p w14:paraId="7599F24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5.极限集中载荷：≥8850N；</w:t>
            </w:r>
          </w:p>
          <w:p w14:paraId="6552FCA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6.地板表面经过导电环氧树脂喷塑处理，内腔填充发泡水泥。防水、防火、防潮性能，含各类配件；</w:t>
            </w:r>
          </w:p>
          <w:p w14:paraId="49BCA8C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7.靠墙部分必须用支架支撑，门口采用不锈钢条地板直角封边；</w:t>
            </w:r>
          </w:p>
          <w:p w14:paraId="44BC03A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8.1年质保+售后维护。</w:t>
            </w:r>
          </w:p>
        </w:tc>
        <w:tc>
          <w:tcPr>
            <w:tcW w:w="888" w:type="dxa"/>
            <w:noWrap w:val="0"/>
            <w:vAlign w:val="center"/>
          </w:tcPr>
          <w:p w14:paraId="184FEB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75</w:t>
            </w:r>
          </w:p>
        </w:tc>
        <w:tc>
          <w:tcPr>
            <w:tcW w:w="984" w:type="dxa"/>
            <w:noWrap w:val="0"/>
            <w:vAlign w:val="center"/>
          </w:tcPr>
          <w:p w14:paraId="7DB133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w:t>
            </w:r>
          </w:p>
        </w:tc>
        <w:tc>
          <w:tcPr>
            <w:tcW w:w="1943" w:type="dxa"/>
            <w:noWrap w:val="0"/>
            <w:vAlign w:val="center"/>
          </w:tcPr>
          <w:p w14:paraId="300543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4E2E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815" w:type="dxa"/>
            <w:noWrap w:val="0"/>
            <w:vAlign w:val="center"/>
          </w:tcPr>
          <w:p w14:paraId="31F33B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w:t>
            </w:r>
          </w:p>
        </w:tc>
        <w:tc>
          <w:tcPr>
            <w:tcW w:w="2207" w:type="dxa"/>
            <w:noWrap w:val="0"/>
            <w:vAlign w:val="center"/>
          </w:tcPr>
          <w:p w14:paraId="0823D8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柜式空调</w:t>
            </w:r>
          </w:p>
        </w:tc>
        <w:tc>
          <w:tcPr>
            <w:tcW w:w="7705" w:type="dxa"/>
            <w:noWrap w:val="0"/>
            <w:vAlign w:val="center"/>
          </w:tcPr>
          <w:p w14:paraId="1E30B1A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1.正3匹及以上功率柜式冷暖变频空调；</w:t>
            </w:r>
          </w:p>
          <w:p w14:paraId="7808362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2.1级能效；</w:t>
            </w:r>
          </w:p>
          <w:p w14:paraId="4D12B305">
            <w:pPr>
              <w:pStyle w:val="29"/>
              <w:keepNext w:val="0"/>
              <w:keepLines w:val="0"/>
              <w:pageBreakBefore w:val="0"/>
              <w:widowControl/>
              <w:numPr>
                <w:ilvl w:val="0"/>
                <w:numId w:val="0"/>
              </w:numPr>
              <w:kinsoku/>
              <w:wordWrap/>
              <w:overflowPunct/>
              <w:topLinePunct w:val="0"/>
              <w:autoSpaceDE/>
              <w:autoSpaceDN/>
              <w:bidi w:val="0"/>
              <w:adjustRightInd/>
              <w:snapToGrid/>
              <w:spacing w:after="0" w:line="300" w:lineRule="exact"/>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3.循环风量1200m3/h以上；</w:t>
            </w:r>
          </w:p>
          <w:p w14:paraId="03631459">
            <w:pPr>
              <w:pStyle w:val="29"/>
              <w:keepNext w:val="0"/>
              <w:keepLines w:val="0"/>
              <w:pageBreakBefore w:val="0"/>
              <w:widowControl/>
              <w:numPr>
                <w:ilvl w:val="0"/>
                <w:numId w:val="0"/>
              </w:numPr>
              <w:kinsoku/>
              <w:wordWrap/>
              <w:overflowPunct/>
              <w:topLinePunct w:val="0"/>
              <w:autoSpaceDE/>
              <w:autoSpaceDN/>
              <w:bidi w:val="0"/>
              <w:adjustRightInd/>
              <w:snapToGrid/>
              <w:spacing w:after="0" w:line="300" w:lineRule="exact"/>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4.6年质保+售后维护。</w:t>
            </w:r>
          </w:p>
        </w:tc>
        <w:tc>
          <w:tcPr>
            <w:tcW w:w="888" w:type="dxa"/>
            <w:noWrap w:val="0"/>
            <w:vAlign w:val="center"/>
          </w:tcPr>
          <w:p w14:paraId="70F631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984" w:type="dxa"/>
            <w:noWrap w:val="0"/>
            <w:vAlign w:val="center"/>
          </w:tcPr>
          <w:p w14:paraId="4A831D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台</w:t>
            </w:r>
          </w:p>
        </w:tc>
        <w:tc>
          <w:tcPr>
            <w:tcW w:w="1943" w:type="dxa"/>
            <w:noWrap w:val="0"/>
            <w:vAlign w:val="center"/>
          </w:tcPr>
          <w:p w14:paraId="0EB44D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9F69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815" w:type="dxa"/>
            <w:noWrap w:val="0"/>
            <w:vAlign w:val="center"/>
          </w:tcPr>
          <w:p w14:paraId="73AA3D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w:t>
            </w:r>
          </w:p>
        </w:tc>
        <w:tc>
          <w:tcPr>
            <w:tcW w:w="2207" w:type="dxa"/>
            <w:noWrap w:val="0"/>
            <w:vAlign w:val="center"/>
          </w:tcPr>
          <w:p w14:paraId="6948BC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安装调试及辅材</w:t>
            </w:r>
          </w:p>
        </w:tc>
        <w:tc>
          <w:tcPr>
            <w:tcW w:w="7705" w:type="dxa"/>
            <w:noWrap w:val="0"/>
            <w:vAlign w:val="center"/>
          </w:tcPr>
          <w:p w14:paraId="325D0E5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一级配电箱和二级配电箱，所需的2.5㎡、4㎡强电线缆，六类网线弱电线缆以及相应的公牛排插等辅材，搬运安装调试，室内消防要求配置灭火器等</w:t>
            </w:r>
          </w:p>
        </w:tc>
        <w:tc>
          <w:tcPr>
            <w:tcW w:w="888" w:type="dxa"/>
            <w:noWrap w:val="0"/>
            <w:vAlign w:val="center"/>
          </w:tcPr>
          <w:p w14:paraId="601275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984" w:type="dxa"/>
            <w:noWrap w:val="0"/>
            <w:vAlign w:val="center"/>
          </w:tcPr>
          <w:p w14:paraId="437440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c>
          <w:tcPr>
            <w:tcW w:w="1943" w:type="dxa"/>
            <w:noWrap w:val="0"/>
            <w:vAlign w:val="center"/>
          </w:tcPr>
          <w:p w14:paraId="576029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34FB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815" w:type="dxa"/>
            <w:noWrap w:val="0"/>
            <w:vAlign w:val="center"/>
          </w:tcPr>
          <w:p w14:paraId="14DE3D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2207" w:type="dxa"/>
            <w:noWrap w:val="0"/>
            <w:vAlign w:val="center"/>
          </w:tcPr>
          <w:p w14:paraId="2E1E11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智能交互平板</w:t>
            </w:r>
          </w:p>
        </w:tc>
        <w:tc>
          <w:tcPr>
            <w:tcW w:w="7705" w:type="dxa"/>
            <w:noWrap w:val="0"/>
            <w:vAlign w:val="center"/>
          </w:tcPr>
          <w:p w14:paraId="6721FC9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1.整机采用一体化设计，屏幕尺寸≥86英寸，显示比例16:9；</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2.显示分辨率不低于3840×2160（4K）；</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3.显示亮度≥400cd/㎡，对比度≥1200:1；</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4.采用红外或电容触控技术，支持≥20点同时触控；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5.内置音响系统，整机前置扬声器，功率满足教室教学需求；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6.接口不少于：HDMI≥3个、USB≥5个（含前置USB接口）；</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7.支持无线投屏功能，可实现教师电脑与学生终端内容展示；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8.内置或兼容电子白板软件，支持书写、批注、截图、保存；</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9.支持与教学管理软件（如极域）配合使用，实现屏幕展示与课堂教学控制；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w:t>
            </w:r>
            <w:r>
              <w:rPr>
                <w:rFonts w:hint="eastAsia" w:ascii="宋体" w:hAnsi="宋体" w:eastAsia="宋体" w:cs="宋体"/>
                <w:color w:val="auto"/>
                <w:sz w:val="18"/>
                <w:szCs w:val="18"/>
                <w:highlight w:val="none"/>
                <w:lang w:val="en-US" w:eastAsia="zh-CN"/>
              </w:rPr>
              <w:t>保修：整机提供3年质保及免费上门服务。</w:t>
            </w:r>
          </w:p>
        </w:tc>
        <w:tc>
          <w:tcPr>
            <w:tcW w:w="888" w:type="dxa"/>
            <w:noWrap w:val="0"/>
            <w:vAlign w:val="center"/>
          </w:tcPr>
          <w:p w14:paraId="4C6A66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984" w:type="dxa"/>
            <w:noWrap w:val="0"/>
            <w:vAlign w:val="center"/>
          </w:tcPr>
          <w:p w14:paraId="0C2479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台</w:t>
            </w:r>
          </w:p>
        </w:tc>
        <w:tc>
          <w:tcPr>
            <w:tcW w:w="1943" w:type="dxa"/>
            <w:noWrap w:val="0"/>
            <w:vAlign w:val="center"/>
          </w:tcPr>
          <w:p w14:paraId="5141F2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含壁挂或移动支架</w:t>
            </w:r>
          </w:p>
        </w:tc>
      </w:tr>
      <w:tr w14:paraId="20670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815" w:type="dxa"/>
            <w:noWrap w:val="0"/>
            <w:vAlign w:val="center"/>
          </w:tcPr>
          <w:p w14:paraId="309CD1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w:t>
            </w:r>
          </w:p>
        </w:tc>
        <w:tc>
          <w:tcPr>
            <w:tcW w:w="2207" w:type="dxa"/>
            <w:noWrap w:val="0"/>
            <w:vAlign w:val="center"/>
          </w:tcPr>
          <w:p w14:paraId="7FB20E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实训室文化建设</w:t>
            </w:r>
          </w:p>
        </w:tc>
        <w:tc>
          <w:tcPr>
            <w:tcW w:w="7705" w:type="dxa"/>
            <w:noWrap w:val="0"/>
            <w:vAlign w:val="center"/>
          </w:tcPr>
          <w:p w14:paraId="77903A9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1.围绕“智能工程学院专业机房实训室”主题进行整体文化设计与制作，内容包括但不限于专业文化展示、实训室功能定位、管理制度与安全规范等；</w:t>
            </w:r>
          </w:p>
          <w:p w14:paraId="16AEAB2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2.文化建设形式包含：文化墙、制度上墙、专业发展与岗位能力展示板等，采用写真、PVC板、亚克力板、KT板或同等材质制作；</w:t>
            </w:r>
          </w:p>
          <w:p w14:paraId="75B3EC4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3.文化版面设计风格统一，图文清晰，符合职业院校实训室文化建设要求；</w:t>
            </w:r>
          </w:p>
          <w:p w14:paraId="460C299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4.制作内容需包含但不限于：实训室简介、使用规范、安全操作须知、文明实训公约等；</w:t>
            </w:r>
          </w:p>
          <w:p w14:paraId="12B3C50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5.安装方式为墙面固定安装，确保牢固、安全、美观；</w:t>
            </w:r>
          </w:p>
          <w:p w14:paraId="16ACFE2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6.含文化内容设计、制作、运输、安装及调试等全部费用；</w:t>
            </w:r>
          </w:p>
          <w:p w14:paraId="4800039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7.文化建设完成后应整体协调，与机房环境和教学功能相匹配；</w:t>
            </w:r>
          </w:p>
          <w:p w14:paraId="4353493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8.项目自验收合格之日起，提供不少于1年的质量保证及售后维护服务，质保期内因材料、制作或安装质量问题造成的损坏，供应商须负责免费整改或更换。</w:t>
            </w:r>
          </w:p>
        </w:tc>
        <w:tc>
          <w:tcPr>
            <w:tcW w:w="888" w:type="dxa"/>
            <w:noWrap w:val="0"/>
            <w:vAlign w:val="center"/>
          </w:tcPr>
          <w:p w14:paraId="45ECCD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984" w:type="dxa"/>
            <w:noWrap w:val="0"/>
            <w:vAlign w:val="center"/>
          </w:tcPr>
          <w:p w14:paraId="750790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项</w:t>
            </w:r>
          </w:p>
        </w:tc>
        <w:tc>
          <w:tcPr>
            <w:tcW w:w="1943" w:type="dxa"/>
            <w:noWrap w:val="0"/>
            <w:vAlign w:val="center"/>
          </w:tcPr>
          <w:p w14:paraId="0986B8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定制化设计制作</w:t>
            </w:r>
          </w:p>
        </w:tc>
      </w:tr>
    </w:tbl>
    <w:p w14:paraId="06BF3C01">
      <w:pPr>
        <w:keepNext w:val="0"/>
        <w:keepLines w:val="0"/>
        <w:pageBreakBefore w:val="0"/>
        <w:widowControl/>
        <w:kinsoku w:val="0"/>
        <w:wordWrap/>
        <w:overflowPunct/>
        <w:topLinePunct w:val="0"/>
        <w:autoSpaceDE w:val="0"/>
        <w:autoSpaceDN w:val="0"/>
        <w:bidi w:val="0"/>
        <w:adjustRightInd w:val="0"/>
        <w:snapToGrid w:val="0"/>
        <w:spacing w:before="20" w:line="360" w:lineRule="exact"/>
        <w:ind w:right="163"/>
        <w:textAlignment w:val="baseline"/>
        <w:rPr>
          <w:rFonts w:hint="eastAsia" w:ascii="宋体" w:hAnsi="宋体" w:eastAsia="宋体" w:cs="宋体"/>
          <w:b/>
          <w:bCs/>
          <w:color w:val="auto"/>
          <w:spacing w:val="10"/>
          <w:sz w:val="21"/>
          <w:szCs w:val="21"/>
          <w:highlight w:val="none"/>
          <w:u w:val="none"/>
          <w:lang w:val="en-US" w:eastAsia="zh-CN"/>
        </w:rPr>
      </w:pPr>
      <w:r>
        <w:rPr>
          <w:rFonts w:hint="eastAsia" w:ascii="宋体" w:hAnsi="宋体" w:eastAsia="宋体" w:cs="宋体"/>
          <w:b/>
          <w:bCs/>
          <w:color w:val="auto"/>
          <w:spacing w:val="10"/>
          <w:sz w:val="21"/>
          <w:szCs w:val="21"/>
          <w:highlight w:val="none"/>
          <w:u w:val="none"/>
          <w:lang w:val="en-US" w:eastAsia="zh-CN"/>
        </w:rPr>
        <w:t>备注：1、以上电脑设备及软件必须为全新产品；</w:t>
      </w:r>
    </w:p>
    <w:p w14:paraId="60BAFC63">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 w:line="360" w:lineRule="exact"/>
        <w:ind w:right="163" w:rightChars="0" w:firstLine="692" w:firstLineChars="300"/>
        <w:textAlignment w:val="baseline"/>
        <w:rPr>
          <w:rFonts w:hint="eastAsia" w:ascii="宋体" w:hAnsi="宋体" w:eastAsia="宋体" w:cs="宋体"/>
          <w:b/>
          <w:bCs/>
          <w:color w:val="auto"/>
          <w:spacing w:val="10"/>
          <w:sz w:val="21"/>
          <w:szCs w:val="21"/>
          <w:highlight w:val="none"/>
          <w:u w:val="none"/>
          <w:lang w:val="en-US" w:eastAsia="zh-CN"/>
        </w:rPr>
      </w:pPr>
      <w:r>
        <w:rPr>
          <w:rFonts w:hint="eastAsia" w:ascii="宋体" w:hAnsi="宋体" w:eastAsia="宋体" w:cs="宋体"/>
          <w:b/>
          <w:bCs/>
          <w:color w:val="auto"/>
          <w:spacing w:val="10"/>
          <w:kern w:val="2"/>
          <w:sz w:val="21"/>
          <w:szCs w:val="21"/>
          <w:highlight w:val="none"/>
          <w:u w:val="none"/>
          <w:lang w:val="en-US" w:eastAsia="zh-CN" w:bidi="ar-SA"/>
        </w:rPr>
        <w:t>2、</w:t>
      </w:r>
      <w:r>
        <w:rPr>
          <w:rFonts w:hint="eastAsia" w:ascii="宋体" w:hAnsi="宋体" w:eastAsia="宋体" w:cs="宋体"/>
          <w:b/>
          <w:bCs/>
          <w:color w:val="auto"/>
          <w:spacing w:val="10"/>
          <w:sz w:val="21"/>
          <w:szCs w:val="21"/>
          <w:highlight w:val="none"/>
          <w:u w:val="none"/>
          <w:lang w:val="en-US" w:eastAsia="zh-CN"/>
        </w:rPr>
        <w:t>等于或优于以上配置参数的设备产品均作为有效响应，低于以上标准的将作为无效响应。</w:t>
      </w:r>
    </w:p>
    <w:p w14:paraId="72775A94">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 w:line="360" w:lineRule="exact"/>
        <w:ind w:right="163" w:rightChars="0" w:firstLine="692" w:firstLineChars="300"/>
        <w:textAlignment w:val="baseline"/>
        <w:rPr>
          <w:rFonts w:hint="eastAsia" w:ascii="宋体" w:hAnsi="宋体" w:eastAsia="宋体" w:cs="宋体"/>
          <w:spacing w:val="10"/>
          <w:sz w:val="21"/>
          <w:szCs w:val="21"/>
          <w:u w:val="none"/>
        </w:rPr>
      </w:pPr>
      <w:r>
        <w:rPr>
          <w:rFonts w:hint="eastAsia" w:ascii="宋体" w:hAnsi="宋体" w:eastAsia="宋体" w:cs="宋体"/>
          <w:b/>
          <w:bCs/>
          <w:color w:val="auto"/>
          <w:spacing w:val="10"/>
          <w:kern w:val="2"/>
          <w:sz w:val="21"/>
          <w:szCs w:val="21"/>
          <w:highlight w:val="none"/>
          <w:u w:val="none"/>
          <w:lang w:val="en-US" w:eastAsia="zh-CN" w:bidi="ar-SA"/>
        </w:rPr>
        <w:t>3、</w:t>
      </w:r>
      <w:r>
        <w:rPr>
          <w:rFonts w:hint="eastAsia" w:ascii="宋体" w:hAnsi="宋体" w:eastAsia="宋体" w:cs="宋体"/>
          <w:b/>
          <w:bCs/>
          <w:color w:val="auto"/>
          <w:sz w:val="21"/>
          <w:szCs w:val="21"/>
          <w:highlight w:val="none"/>
          <w:u w:val="none"/>
          <w:lang w:val="en-US" w:eastAsia="zh-CN"/>
        </w:rPr>
        <w:t>成交供应商</w:t>
      </w:r>
      <w:r>
        <w:rPr>
          <w:rFonts w:hint="eastAsia" w:ascii="宋体" w:hAnsi="宋体" w:cs="宋体"/>
          <w:b/>
          <w:bCs/>
          <w:color w:val="auto"/>
          <w:sz w:val="21"/>
          <w:szCs w:val="21"/>
          <w:highlight w:val="none"/>
          <w:u w:val="none"/>
          <w:lang w:val="en-US" w:eastAsia="zh-CN"/>
        </w:rPr>
        <w:t>应在签订合同时</w:t>
      </w:r>
      <w:r>
        <w:rPr>
          <w:rFonts w:hint="eastAsia" w:ascii="宋体" w:hAnsi="宋体" w:eastAsia="宋体" w:cs="宋体"/>
          <w:b/>
          <w:bCs/>
          <w:color w:val="auto"/>
          <w:spacing w:val="10"/>
          <w:sz w:val="21"/>
          <w:szCs w:val="21"/>
          <w:highlight w:val="none"/>
          <w:u w:val="none"/>
          <w:lang w:val="en-US" w:eastAsia="zh-CN"/>
        </w:rPr>
        <w:t>提供正版软件</w:t>
      </w:r>
      <w:r>
        <w:rPr>
          <w:rFonts w:hint="eastAsia" w:ascii="宋体" w:hAnsi="宋体" w:cs="宋体"/>
          <w:b/>
          <w:bCs/>
          <w:color w:val="auto"/>
          <w:spacing w:val="10"/>
          <w:sz w:val="21"/>
          <w:szCs w:val="21"/>
          <w:highlight w:val="none"/>
          <w:u w:val="none"/>
          <w:lang w:val="en-US" w:eastAsia="zh-CN"/>
        </w:rPr>
        <w:t>的</w:t>
      </w:r>
      <w:r>
        <w:rPr>
          <w:rFonts w:hint="eastAsia" w:ascii="宋体" w:hAnsi="宋体" w:eastAsia="宋体" w:cs="宋体"/>
          <w:b/>
          <w:bCs/>
          <w:color w:val="auto"/>
          <w:spacing w:val="10"/>
          <w:sz w:val="21"/>
          <w:szCs w:val="21"/>
          <w:highlight w:val="none"/>
          <w:u w:val="none"/>
          <w:lang w:val="en-US" w:eastAsia="zh-CN"/>
        </w:rPr>
        <w:t>厂家授权书</w:t>
      </w:r>
      <w:r>
        <w:rPr>
          <w:rFonts w:hint="eastAsia" w:ascii="宋体" w:hAnsi="宋体" w:cs="宋体"/>
          <w:b/>
          <w:bCs/>
          <w:color w:val="auto"/>
          <w:spacing w:val="10"/>
          <w:sz w:val="21"/>
          <w:szCs w:val="21"/>
          <w:highlight w:val="none"/>
          <w:u w:val="none"/>
          <w:lang w:val="en-US" w:eastAsia="zh-CN"/>
        </w:rPr>
        <w:t>，否则比选人有权取消供应商的中选资格</w:t>
      </w:r>
      <w:r>
        <w:rPr>
          <w:rFonts w:hint="eastAsia" w:ascii="宋体" w:hAnsi="宋体" w:eastAsia="宋体" w:cs="宋体"/>
          <w:b/>
          <w:bCs/>
          <w:color w:val="auto"/>
          <w:spacing w:val="10"/>
          <w:sz w:val="21"/>
          <w:szCs w:val="21"/>
          <w:highlight w:val="none"/>
          <w:u w:val="none"/>
          <w:lang w:val="en-US" w:eastAsia="zh-CN"/>
        </w:rPr>
        <w:t>。</w:t>
      </w:r>
    </w:p>
    <w:p w14:paraId="57C2E3D6">
      <w:pPr>
        <w:kinsoku/>
        <w:wordWrap w:val="0"/>
        <w:overflowPunct/>
        <w:topLinePunct w:val="0"/>
        <w:autoSpaceDE/>
        <w:autoSpaceDN/>
        <w:bidi w:val="0"/>
        <w:snapToGrid w:val="0"/>
        <w:spacing w:line="500" w:lineRule="exact"/>
        <w:ind w:left="0" w:leftChars="0" w:firstLine="0" w:firstLineChars="0"/>
        <w:jc w:val="center"/>
        <w:rPr>
          <w:rFonts w:hint="eastAsia" w:ascii="仿宋" w:hAnsi="仿宋" w:eastAsia="仿宋" w:cs="仿宋"/>
          <w:b/>
          <w:bCs/>
          <w:color w:val="auto"/>
          <w:sz w:val="44"/>
          <w:highlight w:val="none"/>
        </w:rPr>
      </w:pPr>
    </w:p>
    <w:p w14:paraId="2BF8B599">
      <w:pPr>
        <w:kinsoku/>
        <w:wordWrap w:val="0"/>
        <w:overflowPunct/>
        <w:topLinePunct w:val="0"/>
        <w:autoSpaceDE/>
        <w:autoSpaceDN/>
        <w:bidi w:val="0"/>
        <w:snapToGrid w:val="0"/>
        <w:spacing w:line="500" w:lineRule="exact"/>
        <w:ind w:left="0" w:leftChars="0" w:firstLine="0" w:firstLineChars="0"/>
        <w:jc w:val="center"/>
        <w:rPr>
          <w:rFonts w:hint="eastAsia" w:ascii="仿宋" w:hAnsi="仿宋" w:eastAsia="仿宋" w:cs="仿宋"/>
          <w:b/>
          <w:bCs/>
          <w:color w:val="auto"/>
          <w:sz w:val="44"/>
          <w:highlight w:val="none"/>
        </w:rPr>
        <w:sectPr>
          <w:headerReference r:id="rId13" w:type="first"/>
          <w:footerReference r:id="rId16" w:type="first"/>
          <w:headerReference r:id="rId11" w:type="default"/>
          <w:footerReference r:id="rId14" w:type="default"/>
          <w:headerReference r:id="rId12" w:type="even"/>
          <w:footerReference r:id="rId15" w:type="even"/>
          <w:pgSz w:w="16840" w:h="11907" w:orient="landscape"/>
          <w:pgMar w:top="1134" w:right="1134" w:bottom="1134" w:left="1134" w:header="964" w:footer="992" w:gutter="0"/>
          <w:pgNumType w:fmt="decimal"/>
          <w:cols w:space="720" w:num="1"/>
          <w:titlePg/>
          <w:docGrid w:linePitch="312" w:charSpace="0"/>
        </w:sectPr>
      </w:pPr>
    </w:p>
    <w:p w14:paraId="0239D37E">
      <w:pPr>
        <w:pStyle w:val="3"/>
        <w:spacing w:before="0" w:after="0" w:line="42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三.验收方式</w:t>
      </w:r>
    </w:p>
    <w:p w14:paraId="4C134F3C">
      <w:pPr>
        <w:pageBreakBefore w:val="0"/>
        <w:widowControl w:val="0"/>
        <w:kinsoku/>
        <w:wordWrap w:val="0"/>
        <w:overflowPunct/>
        <w:topLinePunct w:val="0"/>
        <w:autoSpaceDE/>
        <w:autoSpaceDN/>
        <w:bidi w:val="0"/>
        <w:adjustRightInd/>
        <w:snapToGrid w:val="0"/>
        <w:spacing w:line="42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1.验收标准：中选人交付的产品应为全新产品，附带产品合格证及保修书并符合国家相关质量标准、产品出厂标准以及《采购清单》中约定的规格、配置与性能要求；软件必须提供厂家的授权书。</w:t>
      </w:r>
    </w:p>
    <w:p w14:paraId="08BD9D19">
      <w:pPr>
        <w:pageBreakBefore w:val="0"/>
        <w:widowControl w:val="0"/>
        <w:kinsoku/>
        <w:wordWrap w:val="0"/>
        <w:overflowPunct/>
        <w:topLinePunct w:val="0"/>
        <w:autoSpaceDE/>
        <w:autoSpaceDN/>
        <w:bidi w:val="0"/>
        <w:adjustRightInd/>
        <w:snapToGrid w:val="0"/>
        <w:spacing w:line="42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2.验收方：比选人与中选人共同负责验收，验收结果达成一致后才成为最终验收结果。</w:t>
      </w:r>
    </w:p>
    <w:p w14:paraId="10F3C73E">
      <w:pPr>
        <w:pageBreakBefore w:val="0"/>
        <w:widowControl w:val="0"/>
        <w:kinsoku/>
        <w:wordWrap w:val="0"/>
        <w:overflowPunct/>
        <w:topLinePunct w:val="0"/>
        <w:autoSpaceDE/>
        <w:autoSpaceDN/>
        <w:bidi w:val="0"/>
        <w:adjustRightInd/>
        <w:snapToGrid w:val="0"/>
        <w:spacing w:line="42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3.验收期限：比选人应在收到货物后 5 个工作日内，依据合同对产品的型号、数量、外观、基本功能等进行开箱清点与初步验收。安装调试完毕后，比选人应在 5 个工作日内完成最终验收。</w:t>
      </w:r>
    </w:p>
    <w:p w14:paraId="5975ED5C">
      <w:pPr>
        <w:pageBreakBefore w:val="0"/>
        <w:widowControl w:val="0"/>
        <w:kinsoku/>
        <w:wordWrap w:val="0"/>
        <w:overflowPunct/>
        <w:topLinePunct w:val="0"/>
        <w:autoSpaceDE/>
        <w:autoSpaceDN/>
        <w:bidi w:val="0"/>
        <w:adjustRightInd/>
        <w:snapToGrid w:val="0"/>
        <w:spacing w:line="4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4.验收结果处理：验收合格的，由比选人签署验收合格确认文件。验收发现数量短缺、型号不符、配置不符或存在质量瑕疵的，比选人有权要求成交供应商在 3 个工作日内无条件更换、补足或退货，因此产生的费用由中选人承担；若因此导致交货延迟，中选人应按合同约定承担违约责任。</w:t>
      </w:r>
    </w:p>
    <w:p w14:paraId="3878F295">
      <w:pPr>
        <w:pStyle w:val="3"/>
        <w:spacing w:before="0" w:after="0" w:line="420" w:lineRule="exact"/>
        <w:rPr>
          <w:rFonts w:hint="eastAsia" w:ascii="宋体" w:hAnsi="宋体" w:eastAsia="宋体" w:cs="宋体"/>
          <w:b/>
          <w:bCs/>
          <w:color w:val="auto"/>
          <w:sz w:val="21"/>
          <w:szCs w:val="21"/>
          <w:highlight w:val="none"/>
        </w:rPr>
      </w:pPr>
      <w:bookmarkStart w:id="785" w:name="_Toc4646"/>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售后服务与保修‌</w:t>
      </w:r>
      <w:bookmarkEnd w:id="785"/>
    </w:p>
    <w:p w14:paraId="14370253">
      <w:pPr>
        <w:pageBreakBefore w:val="0"/>
        <w:widowControl w:val="0"/>
        <w:kinsoku/>
        <w:wordWrap w:val="0"/>
        <w:overflowPunct/>
        <w:topLinePunct w:val="0"/>
        <w:autoSpaceDE/>
        <w:autoSpaceDN/>
        <w:bidi w:val="0"/>
        <w:adjustRightInd/>
        <w:snapToGrid w:val="0"/>
        <w:spacing w:line="4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中选人</w:t>
      </w:r>
      <w:r>
        <w:rPr>
          <w:rFonts w:hint="eastAsia" w:ascii="宋体" w:hAnsi="宋体" w:eastAsia="宋体" w:cs="宋体"/>
          <w:color w:val="auto"/>
          <w:sz w:val="21"/>
          <w:szCs w:val="21"/>
          <w:highlight w:val="none"/>
          <w:lang w:val="en-US" w:eastAsia="zh-CN"/>
        </w:rPr>
        <w:t>承诺交付的所有产品自比选人最终验收合格之日起至少为期2年的免费保修服务。保修期内，产品出现非人为原因造成的性能故障，负责免费维修或更换。‌</w:t>
      </w:r>
    </w:p>
    <w:p w14:paraId="2F0DC9B3">
      <w:pPr>
        <w:pageBreakBefore w:val="0"/>
        <w:widowControl w:val="0"/>
        <w:kinsoku/>
        <w:wordWrap w:val="0"/>
        <w:overflowPunct/>
        <w:topLinePunct w:val="0"/>
        <w:autoSpaceDE/>
        <w:autoSpaceDN/>
        <w:bidi w:val="0"/>
        <w:adjustRightInd/>
        <w:snapToGrid w:val="0"/>
        <w:spacing w:line="4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中选人</w:t>
      </w:r>
      <w:r>
        <w:rPr>
          <w:rFonts w:hint="eastAsia" w:ascii="宋体" w:hAnsi="宋体" w:eastAsia="宋体" w:cs="宋体"/>
          <w:color w:val="auto"/>
          <w:sz w:val="21"/>
          <w:szCs w:val="21"/>
          <w:highlight w:val="none"/>
          <w:lang w:val="en-US" w:eastAsia="zh-CN"/>
        </w:rPr>
        <w:t>提供2年免费上门技术支持服务。比选人在使用过程中遇到技术问题，</w:t>
      </w:r>
      <w:r>
        <w:rPr>
          <w:rFonts w:hint="eastAsia" w:ascii="宋体" w:hAnsi="宋体" w:cs="宋体"/>
          <w:color w:val="auto"/>
          <w:sz w:val="21"/>
          <w:szCs w:val="21"/>
          <w:highlight w:val="none"/>
          <w:lang w:val="en-US" w:eastAsia="zh-CN"/>
        </w:rPr>
        <w:t>中选人</w:t>
      </w:r>
      <w:r>
        <w:rPr>
          <w:rFonts w:hint="eastAsia" w:ascii="宋体" w:hAnsi="宋体" w:eastAsia="宋体" w:cs="宋体"/>
          <w:color w:val="auto"/>
          <w:sz w:val="21"/>
          <w:szCs w:val="21"/>
          <w:highlight w:val="none"/>
          <w:lang w:val="en-US" w:eastAsia="zh-CN"/>
        </w:rPr>
        <w:t>应在接到通知后24小时内响应，2个工作日内派技术人员上门解决。‌</w:t>
      </w:r>
    </w:p>
    <w:p w14:paraId="36B0DC19">
      <w:pPr>
        <w:pageBreakBefore w:val="0"/>
        <w:widowControl w:val="0"/>
        <w:kinsoku/>
        <w:wordWrap w:val="0"/>
        <w:overflowPunct/>
        <w:topLinePunct w:val="0"/>
        <w:autoSpaceDE/>
        <w:autoSpaceDN/>
        <w:bidi w:val="0"/>
        <w:adjustRightInd/>
        <w:snapToGrid w:val="0"/>
        <w:spacing w:line="4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3.保修期届满后，承诺继续以优惠价格向比选人提供有偿维修与技术支持服务。</w:t>
      </w:r>
    </w:p>
    <w:p w14:paraId="14FDDC7F">
      <w:pPr>
        <w:pStyle w:val="3"/>
        <w:spacing w:before="0" w:after="0" w:line="420" w:lineRule="exac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五、知识产权</w:t>
      </w:r>
    </w:p>
    <w:p w14:paraId="6C51E6EF">
      <w:pPr>
        <w:pageBreakBefore w:val="0"/>
        <w:widowControl w:val="0"/>
        <w:kinsoku/>
        <w:wordWrap w:val="0"/>
        <w:overflowPunct/>
        <w:topLinePunct w:val="0"/>
        <w:autoSpaceDE/>
        <w:autoSpaceDN/>
        <w:bidi w:val="0"/>
        <w:adjustRightInd/>
        <w:snapToGrid w:val="0"/>
        <w:spacing w:line="4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比选人在中华人民共和国境内使用</w:t>
      </w:r>
      <w:r>
        <w:rPr>
          <w:rFonts w:hint="eastAsia" w:ascii="宋体" w:hAnsi="宋体" w:cs="宋体"/>
          <w:color w:val="auto"/>
          <w:sz w:val="21"/>
          <w:szCs w:val="21"/>
          <w:highlight w:val="none"/>
          <w:lang w:val="en-US" w:eastAsia="zh-CN"/>
        </w:rPr>
        <w:t>中选人</w:t>
      </w:r>
      <w:r>
        <w:rPr>
          <w:rFonts w:hint="eastAsia" w:ascii="宋体" w:hAnsi="宋体" w:eastAsia="宋体" w:cs="宋体"/>
          <w:color w:val="auto"/>
          <w:sz w:val="21"/>
          <w:szCs w:val="21"/>
          <w:highlight w:val="none"/>
          <w:lang w:val="en-US" w:eastAsia="zh-CN"/>
        </w:rPr>
        <w:t>提供的服务时免受第三方提出的侵犯其专利权或其它知识产权的起诉。如果第三方提出侵权指控，成交供应商应承担由此而引起的一切法律责任和费用。</w:t>
      </w:r>
    </w:p>
    <w:p w14:paraId="6A81B87B">
      <w:pPr>
        <w:pageBreakBefore w:val="0"/>
        <w:widowControl w:val="0"/>
        <w:kinsoku/>
        <w:wordWrap w:val="0"/>
        <w:overflowPunct/>
        <w:topLinePunct w:val="0"/>
        <w:autoSpaceDE/>
        <w:autoSpaceDN/>
        <w:bidi w:val="0"/>
        <w:adjustRightInd/>
        <w:snapToGrid w:val="0"/>
        <w:spacing w:line="4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注：若涉及软件开发等服务类项目知识产权的，知识产权归采购人所有。</w:t>
      </w:r>
    </w:p>
    <w:p w14:paraId="46367988">
      <w:pPr>
        <w:pStyle w:val="3"/>
        <w:spacing w:before="0" w:after="0" w:line="420" w:lineRule="exact"/>
        <w:rPr>
          <w:rFonts w:hint="eastAsia" w:ascii="宋体" w:hAnsi="宋体" w:eastAsia="宋体" w:cs="宋体"/>
          <w:b/>
          <w:bCs/>
          <w:color w:val="auto"/>
          <w:sz w:val="21"/>
          <w:szCs w:val="21"/>
          <w:highlight w:val="none"/>
          <w:lang w:val="en-US" w:eastAsia="zh-CN"/>
        </w:rPr>
      </w:pPr>
      <w:bookmarkStart w:id="786" w:name="_Toc10335"/>
      <w:bookmarkStart w:id="787" w:name="_Toc23069"/>
      <w:r>
        <w:rPr>
          <w:rFonts w:hint="eastAsia" w:ascii="宋体" w:hAnsi="宋体" w:eastAsia="宋体" w:cs="宋体"/>
          <w:b/>
          <w:bCs/>
          <w:color w:val="auto"/>
          <w:sz w:val="21"/>
          <w:szCs w:val="21"/>
          <w:highlight w:val="none"/>
          <w:lang w:val="en-US" w:eastAsia="zh-CN"/>
        </w:rPr>
        <w:t>六、其他</w:t>
      </w:r>
      <w:bookmarkEnd w:id="786"/>
      <w:bookmarkEnd w:id="787"/>
    </w:p>
    <w:p w14:paraId="77C9B269">
      <w:pPr>
        <w:pageBreakBefore w:val="0"/>
        <w:widowControl w:val="0"/>
        <w:kinsoku/>
        <w:wordWrap w:val="0"/>
        <w:overflowPunct/>
        <w:topLinePunct w:val="0"/>
        <w:autoSpaceDE/>
        <w:autoSpaceDN/>
        <w:bidi w:val="0"/>
        <w:adjustRightInd/>
        <w:snapToGrid w:val="0"/>
        <w:spacing w:line="4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中选人</w:t>
      </w:r>
      <w:r>
        <w:rPr>
          <w:rFonts w:hint="eastAsia" w:ascii="宋体" w:hAnsi="宋体" w:eastAsia="宋体" w:cs="宋体"/>
          <w:color w:val="auto"/>
          <w:sz w:val="21"/>
          <w:szCs w:val="21"/>
          <w:highlight w:val="none"/>
          <w:lang w:val="en-US" w:eastAsia="zh-CN"/>
        </w:rPr>
        <w:t>的工作人员在为比选人的服务期间，因疾病、工伤、意外伤害、疾病传染、劳动保护、职业病等所产生的一切费用，均由</w:t>
      </w:r>
      <w:r>
        <w:rPr>
          <w:rFonts w:hint="eastAsia" w:ascii="宋体" w:hAnsi="宋体" w:cs="宋体"/>
          <w:color w:val="auto"/>
          <w:sz w:val="21"/>
          <w:szCs w:val="21"/>
          <w:highlight w:val="none"/>
          <w:lang w:val="en-US" w:eastAsia="zh-CN"/>
        </w:rPr>
        <w:t>中选人</w:t>
      </w:r>
      <w:r>
        <w:rPr>
          <w:rFonts w:hint="eastAsia" w:ascii="宋体" w:hAnsi="宋体" w:eastAsia="宋体" w:cs="宋体"/>
          <w:color w:val="auto"/>
          <w:sz w:val="21"/>
          <w:szCs w:val="21"/>
          <w:highlight w:val="none"/>
          <w:lang w:val="en-US" w:eastAsia="zh-CN"/>
        </w:rPr>
        <w:t>自行负责。</w:t>
      </w:r>
    </w:p>
    <w:p w14:paraId="4F533294">
      <w:pPr>
        <w:pageBreakBefore w:val="0"/>
        <w:widowControl w:val="0"/>
        <w:kinsoku/>
        <w:wordWrap w:val="0"/>
        <w:overflowPunct/>
        <w:topLinePunct w:val="0"/>
        <w:autoSpaceDE/>
        <w:autoSpaceDN/>
        <w:bidi w:val="0"/>
        <w:adjustRightInd/>
        <w:snapToGrid w:val="0"/>
        <w:spacing w:line="4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2.在履约服务期限内，</w:t>
      </w:r>
      <w:r>
        <w:rPr>
          <w:rFonts w:hint="eastAsia" w:ascii="宋体" w:hAnsi="宋体" w:cs="宋体"/>
          <w:color w:val="auto"/>
          <w:sz w:val="21"/>
          <w:szCs w:val="21"/>
          <w:highlight w:val="none"/>
          <w:lang w:val="en-US" w:eastAsia="zh-CN"/>
        </w:rPr>
        <w:t>中选人</w:t>
      </w:r>
      <w:r>
        <w:rPr>
          <w:rFonts w:hint="eastAsia" w:ascii="宋体" w:hAnsi="宋体" w:eastAsia="宋体" w:cs="宋体"/>
          <w:color w:val="auto"/>
          <w:sz w:val="21"/>
          <w:szCs w:val="21"/>
          <w:highlight w:val="none"/>
          <w:lang w:val="en-US" w:eastAsia="zh-CN"/>
        </w:rPr>
        <w:t>自行组织人员完成合同约定事务，并按照国家法律法规的要求完善用工制度，</w:t>
      </w:r>
      <w:r>
        <w:rPr>
          <w:rFonts w:hint="eastAsia" w:ascii="宋体" w:hAnsi="宋体" w:cs="宋体"/>
          <w:color w:val="auto"/>
          <w:sz w:val="21"/>
          <w:szCs w:val="21"/>
          <w:highlight w:val="none"/>
          <w:lang w:val="en-US" w:eastAsia="zh-CN"/>
        </w:rPr>
        <w:t>中选人</w:t>
      </w:r>
      <w:r>
        <w:rPr>
          <w:rFonts w:hint="eastAsia" w:ascii="宋体" w:hAnsi="宋体" w:eastAsia="宋体" w:cs="宋体"/>
          <w:color w:val="auto"/>
          <w:sz w:val="21"/>
          <w:szCs w:val="21"/>
          <w:highlight w:val="none"/>
          <w:lang w:val="en-US" w:eastAsia="zh-CN"/>
        </w:rPr>
        <w:t>为完成合同约定事务自行聘请的人员工资、福利、社保等用工责任由</w:t>
      </w:r>
      <w:r>
        <w:rPr>
          <w:rFonts w:hint="eastAsia" w:ascii="宋体" w:hAnsi="宋体" w:cs="宋体"/>
          <w:color w:val="auto"/>
          <w:sz w:val="21"/>
          <w:szCs w:val="21"/>
          <w:highlight w:val="none"/>
          <w:lang w:val="en-US" w:eastAsia="zh-CN"/>
        </w:rPr>
        <w:t>中选人</w:t>
      </w:r>
      <w:r>
        <w:rPr>
          <w:rFonts w:hint="eastAsia" w:ascii="宋体" w:hAnsi="宋体" w:eastAsia="宋体" w:cs="宋体"/>
          <w:color w:val="auto"/>
          <w:sz w:val="21"/>
          <w:szCs w:val="21"/>
          <w:highlight w:val="none"/>
          <w:lang w:val="en-US" w:eastAsia="zh-CN"/>
        </w:rPr>
        <w:t>自行承担，因</w:t>
      </w:r>
      <w:r>
        <w:rPr>
          <w:rFonts w:hint="eastAsia" w:ascii="宋体" w:hAnsi="宋体" w:cs="宋体"/>
          <w:color w:val="auto"/>
          <w:sz w:val="21"/>
          <w:szCs w:val="21"/>
          <w:highlight w:val="none"/>
          <w:lang w:val="en-US" w:eastAsia="zh-CN"/>
        </w:rPr>
        <w:t>中选人</w:t>
      </w:r>
      <w:r>
        <w:rPr>
          <w:rFonts w:hint="eastAsia" w:ascii="宋体" w:hAnsi="宋体" w:eastAsia="宋体" w:cs="宋体"/>
          <w:color w:val="auto"/>
          <w:sz w:val="21"/>
          <w:szCs w:val="21"/>
          <w:highlight w:val="none"/>
          <w:lang w:val="en-US" w:eastAsia="zh-CN"/>
        </w:rPr>
        <w:t>未完善而引起的劳动争议由成交供应商自行负责。</w:t>
      </w:r>
    </w:p>
    <w:p w14:paraId="0C2677C1">
      <w:pPr>
        <w:pageBreakBefore w:val="0"/>
        <w:widowControl w:val="0"/>
        <w:kinsoku/>
        <w:wordWrap w:val="0"/>
        <w:overflowPunct/>
        <w:topLinePunct w:val="0"/>
        <w:autoSpaceDE/>
        <w:autoSpaceDN/>
        <w:bidi w:val="0"/>
        <w:adjustRightInd/>
        <w:snapToGrid w:val="0"/>
        <w:spacing w:line="42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3.中选人的人员因自身工作失误造成货物、现场、人员及其他损失由中选人自行负责，比选人不承担责任。</w:t>
      </w:r>
    </w:p>
    <w:p w14:paraId="1AA18039">
      <w:pPr>
        <w:pageBreakBefore w:val="0"/>
        <w:widowControl w:val="0"/>
        <w:kinsoku/>
        <w:wordWrap w:val="0"/>
        <w:overflowPunct/>
        <w:topLinePunct w:val="0"/>
        <w:autoSpaceDE/>
        <w:autoSpaceDN/>
        <w:bidi w:val="0"/>
        <w:adjustRightInd/>
        <w:snapToGrid w:val="0"/>
        <w:spacing w:line="4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中选人须按比选人要求完成配送、安装、调试、装饰装修以及售后服务</w:t>
      </w:r>
      <w:r>
        <w:rPr>
          <w:rFonts w:hint="eastAsia" w:ascii="宋体" w:hAnsi="宋体" w:eastAsia="宋体" w:cs="宋体"/>
          <w:color w:val="auto"/>
          <w:sz w:val="21"/>
          <w:szCs w:val="21"/>
          <w:highlight w:val="none"/>
          <w:lang w:val="en-US" w:eastAsia="zh-CN"/>
        </w:rPr>
        <w:t>。</w:t>
      </w:r>
    </w:p>
    <w:p w14:paraId="7A53F577">
      <w:pPr>
        <w:pageBreakBefore w:val="0"/>
        <w:widowControl w:val="0"/>
        <w:kinsoku/>
        <w:wordWrap w:val="0"/>
        <w:overflowPunct/>
        <w:topLinePunct w:val="0"/>
        <w:autoSpaceDE/>
        <w:autoSpaceDN/>
        <w:bidi w:val="0"/>
        <w:adjustRightInd/>
        <w:snapToGrid w:val="0"/>
        <w:spacing w:line="4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.其他未尽事宜在采购合同中详细约定。</w:t>
      </w:r>
    </w:p>
    <w:p w14:paraId="7C826BB8">
      <w:pPr>
        <w:pageBreakBefore w:val="0"/>
        <w:widowControl w:val="0"/>
        <w:kinsoku/>
        <w:wordWrap w:val="0"/>
        <w:overflowPunct/>
        <w:topLinePunct w:val="0"/>
        <w:autoSpaceDE/>
        <w:autoSpaceDN/>
        <w:bidi w:val="0"/>
        <w:adjustRightInd/>
        <w:snapToGrid w:val="0"/>
        <w:spacing w:line="420" w:lineRule="exact"/>
        <w:ind w:firstLine="420" w:firstLineChars="200"/>
        <w:textAlignment w:val="auto"/>
        <w:rPr>
          <w:rFonts w:hint="default" w:ascii="宋体" w:hAnsi="宋体" w:eastAsia="宋体" w:cs="宋体"/>
          <w:color w:val="auto"/>
          <w:sz w:val="21"/>
          <w:szCs w:val="21"/>
          <w:highlight w:val="none"/>
          <w:lang w:val="en-US" w:eastAsia="zh-CN"/>
        </w:rPr>
      </w:pPr>
    </w:p>
    <w:p w14:paraId="5D49A98E">
      <w:r>
        <w:br w:type="page"/>
      </w:r>
    </w:p>
    <w:p w14:paraId="67BF1B21">
      <w:pPr>
        <w:bidi w:val="0"/>
      </w:pPr>
    </w:p>
    <w:p w14:paraId="6DFA85E6">
      <w:pPr>
        <w:keepNext/>
        <w:spacing w:line="360" w:lineRule="auto"/>
        <w:jc w:val="center"/>
        <w:outlineLvl w:val="0"/>
        <w:rPr>
          <w:rFonts w:hint="eastAsia" w:hAnsi="宋体" w:cs="宋体"/>
          <w:b/>
          <w:sz w:val="44"/>
          <w:szCs w:val="44"/>
        </w:rPr>
      </w:pPr>
      <w:bookmarkStart w:id="788" w:name="_Toc29203"/>
      <w:bookmarkStart w:id="789" w:name="_Toc229"/>
      <w:r>
        <w:rPr>
          <w:rFonts w:hint="eastAsia" w:ascii="宋体" w:hAnsi="宋体" w:cs="宋体"/>
          <w:b/>
          <w:sz w:val="44"/>
          <w:szCs w:val="44"/>
        </w:rPr>
        <w:t>第五章 合同条款</w:t>
      </w:r>
      <w:bookmarkEnd w:id="783"/>
      <w:bookmarkEnd w:id="788"/>
      <w:bookmarkEnd w:id="789"/>
    </w:p>
    <w:p w14:paraId="3EEFB62D">
      <w:r>
        <w:br w:type="page"/>
      </w:r>
    </w:p>
    <w:p w14:paraId="0D2CAC4D">
      <w:pPr>
        <w:adjustRightInd w:val="0"/>
        <w:snapToGrid w:val="0"/>
        <w:spacing w:line="520" w:lineRule="exact"/>
        <w:jc w:val="center"/>
        <w:rPr>
          <w:rFonts w:hint="eastAsia" w:ascii="宋体" w:hAnsi="宋体"/>
          <w:b/>
          <w:bCs/>
          <w:sz w:val="30"/>
          <w:szCs w:val="30"/>
        </w:rPr>
      </w:pPr>
      <w:r>
        <w:rPr>
          <w:rFonts w:hint="eastAsia" w:ascii="宋体" w:hAnsi="宋体"/>
          <w:b/>
          <w:sz w:val="30"/>
          <w:szCs w:val="30"/>
          <w:lang w:eastAsia="zh-CN"/>
        </w:rPr>
        <w:t>重庆理工职业学院实训机房改建项目</w:t>
      </w:r>
      <w:r>
        <w:rPr>
          <w:rFonts w:hint="eastAsia" w:ascii="宋体" w:hAnsi="宋体"/>
          <w:b/>
          <w:sz w:val="30"/>
          <w:szCs w:val="30"/>
        </w:rPr>
        <w:t>合同</w:t>
      </w:r>
    </w:p>
    <w:p w14:paraId="05DAB22F">
      <w:pPr>
        <w:adjustRightInd w:val="0"/>
        <w:snapToGrid w:val="0"/>
        <w:spacing w:line="520" w:lineRule="exact"/>
        <w:jc w:val="center"/>
        <w:rPr>
          <w:rFonts w:ascii="宋体"/>
          <w:b/>
          <w:bCs/>
          <w:sz w:val="24"/>
        </w:rPr>
      </w:pPr>
    </w:p>
    <w:p w14:paraId="31F26EFF">
      <w:pPr>
        <w:spacing w:line="440" w:lineRule="exact"/>
        <w:rPr>
          <w:rFonts w:hint="eastAsia" w:ascii="宋体" w:hAnsi="宋体" w:cs="宋体"/>
          <w:szCs w:val="21"/>
        </w:rPr>
      </w:pPr>
      <w:bookmarkStart w:id="790" w:name="_Toc127516431"/>
      <w:bookmarkStart w:id="791" w:name="_Toc146236259"/>
      <w:r>
        <w:rPr>
          <w:rFonts w:hint="eastAsia" w:ascii="宋体" w:hAnsi="宋体" w:cs="宋体"/>
          <w:szCs w:val="21"/>
        </w:rPr>
        <w:t>‌甲方（采购方）：重庆理工职业学院</w:t>
      </w:r>
    </w:p>
    <w:p w14:paraId="3C98EFC6">
      <w:pPr>
        <w:spacing w:line="440" w:lineRule="exact"/>
        <w:rPr>
          <w:rFonts w:hint="eastAsia" w:ascii="宋体" w:hAnsi="宋体" w:cs="宋体"/>
          <w:szCs w:val="21"/>
        </w:rPr>
      </w:pPr>
      <w:r>
        <w:rPr>
          <w:rFonts w:hint="eastAsia" w:ascii="宋体" w:hAnsi="宋体" w:cs="宋体"/>
          <w:szCs w:val="21"/>
        </w:rPr>
        <w:t>‌统一社会信用代码：</w:t>
      </w:r>
      <w:r>
        <w:rPr>
          <w:rFonts w:hint="eastAsia" w:ascii="宋体" w:hAnsi="宋体" w:cs="宋体"/>
          <w:szCs w:val="21"/>
          <w:u w:val="single"/>
        </w:rPr>
        <w:t xml:space="preserve">            </w:t>
      </w:r>
    </w:p>
    <w:p w14:paraId="52334F2D">
      <w:pPr>
        <w:spacing w:line="440" w:lineRule="exact"/>
        <w:rPr>
          <w:rFonts w:hint="eastAsia" w:ascii="宋体" w:hAnsi="宋体" w:cs="宋体"/>
          <w:szCs w:val="21"/>
        </w:rPr>
      </w:pPr>
      <w:r>
        <w:rPr>
          <w:rFonts w:hint="eastAsia" w:ascii="宋体" w:hAnsi="宋体" w:cs="宋体"/>
          <w:szCs w:val="21"/>
        </w:rPr>
        <w:t>‌地址：</w:t>
      </w:r>
      <w:r>
        <w:rPr>
          <w:rFonts w:hint="eastAsia" w:ascii="宋体" w:hAnsi="宋体" w:cs="宋体"/>
          <w:szCs w:val="21"/>
          <w:u w:val="single"/>
        </w:rPr>
        <w:t xml:space="preserve">            </w:t>
      </w:r>
    </w:p>
    <w:p w14:paraId="15715FCB">
      <w:pPr>
        <w:spacing w:line="440" w:lineRule="exact"/>
        <w:rPr>
          <w:rFonts w:hint="eastAsia" w:ascii="宋体" w:hAnsi="宋体" w:cs="宋体"/>
          <w:szCs w:val="21"/>
        </w:rPr>
      </w:pPr>
      <w:r>
        <w:rPr>
          <w:rFonts w:hint="eastAsia" w:ascii="宋体" w:hAnsi="宋体" w:cs="宋体"/>
          <w:szCs w:val="21"/>
        </w:rPr>
        <w:t>‌联系人：</w:t>
      </w:r>
      <w:r>
        <w:rPr>
          <w:rFonts w:hint="eastAsia" w:ascii="宋体" w:hAnsi="宋体" w:cs="宋体"/>
          <w:szCs w:val="21"/>
          <w:u w:val="single"/>
        </w:rPr>
        <w:t xml:space="preserve">            </w:t>
      </w:r>
    </w:p>
    <w:p w14:paraId="3974BE8C">
      <w:pPr>
        <w:spacing w:line="440" w:lineRule="exact"/>
        <w:rPr>
          <w:rFonts w:hint="eastAsia" w:ascii="宋体" w:hAnsi="宋体" w:cs="宋体"/>
          <w:szCs w:val="21"/>
        </w:rPr>
      </w:pPr>
      <w:r>
        <w:rPr>
          <w:rFonts w:hint="eastAsia" w:ascii="宋体" w:hAnsi="宋体" w:cs="宋体"/>
          <w:szCs w:val="21"/>
        </w:rPr>
        <w:t>‌联系电话：</w:t>
      </w:r>
      <w:r>
        <w:rPr>
          <w:rFonts w:hint="eastAsia" w:ascii="宋体" w:hAnsi="宋体" w:cs="宋体"/>
          <w:szCs w:val="21"/>
          <w:u w:val="single"/>
        </w:rPr>
        <w:t xml:space="preserve">            </w:t>
      </w:r>
    </w:p>
    <w:p w14:paraId="4EBEC57E">
      <w:pPr>
        <w:spacing w:line="440" w:lineRule="exact"/>
        <w:rPr>
          <w:rFonts w:hint="eastAsia" w:ascii="宋体" w:hAnsi="宋体" w:cs="宋体"/>
          <w:szCs w:val="21"/>
        </w:rPr>
      </w:pPr>
    </w:p>
    <w:p w14:paraId="07AB5B4D">
      <w:pPr>
        <w:spacing w:line="440" w:lineRule="exact"/>
        <w:rPr>
          <w:rFonts w:hint="eastAsia" w:ascii="宋体" w:hAnsi="宋体" w:cs="宋体"/>
          <w:szCs w:val="21"/>
        </w:rPr>
      </w:pPr>
      <w:r>
        <w:rPr>
          <w:rFonts w:hint="eastAsia" w:ascii="宋体" w:hAnsi="宋体" w:cs="宋体"/>
          <w:szCs w:val="21"/>
        </w:rPr>
        <w:t>乙方（供货方）：</w:t>
      </w:r>
      <w:r>
        <w:rPr>
          <w:rFonts w:hint="eastAsia" w:ascii="宋体" w:hAnsi="宋体" w:cs="宋体"/>
          <w:szCs w:val="21"/>
          <w:u w:val="single"/>
        </w:rPr>
        <w:t xml:space="preserve">                   </w:t>
      </w:r>
    </w:p>
    <w:p w14:paraId="53DA5B5C">
      <w:pPr>
        <w:spacing w:line="440" w:lineRule="exact"/>
        <w:rPr>
          <w:rFonts w:hint="eastAsia" w:ascii="宋体" w:hAnsi="宋体" w:cs="宋体"/>
          <w:szCs w:val="21"/>
        </w:rPr>
      </w:pPr>
      <w:r>
        <w:rPr>
          <w:rFonts w:hint="eastAsia" w:ascii="宋体" w:hAnsi="宋体" w:cs="宋体"/>
          <w:szCs w:val="21"/>
        </w:rPr>
        <w:t>‌统一社会信用代码：</w:t>
      </w:r>
      <w:r>
        <w:rPr>
          <w:rFonts w:hint="eastAsia" w:ascii="宋体" w:hAnsi="宋体" w:cs="宋体"/>
          <w:szCs w:val="21"/>
          <w:u w:val="single"/>
        </w:rPr>
        <w:t xml:space="preserve">                 </w:t>
      </w:r>
    </w:p>
    <w:p w14:paraId="7AEFAFB6">
      <w:pPr>
        <w:spacing w:line="440" w:lineRule="exact"/>
        <w:rPr>
          <w:rFonts w:hint="eastAsia" w:ascii="宋体" w:hAnsi="宋体" w:cs="宋体"/>
          <w:szCs w:val="21"/>
        </w:rPr>
      </w:pPr>
      <w:r>
        <w:rPr>
          <w:rFonts w:hint="eastAsia" w:ascii="宋体" w:hAnsi="宋体" w:cs="宋体"/>
          <w:szCs w:val="21"/>
        </w:rPr>
        <w:t>‌地址：</w:t>
      </w:r>
      <w:r>
        <w:rPr>
          <w:rFonts w:hint="eastAsia" w:ascii="宋体" w:hAnsi="宋体" w:cs="宋体"/>
          <w:szCs w:val="21"/>
          <w:u w:val="single"/>
        </w:rPr>
        <w:t xml:space="preserve">            </w:t>
      </w:r>
    </w:p>
    <w:p w14:paraId="5834CA68">
      <w:pPr>
        <w:spacing w:line="440" w:lineRule="exact"/>
        <w:rPr>
          <w:rFonts w:hint="eastAsia" w:ascii="宋体" w:hAnsi="宋体" w:cs="宋体"/>
          <w:szCs w:val="21"/>
        </w:rPr>
      </w:pPr>
      <w:r>
        <w:rPr>
          <w:rFonts w:hint="eastAsia" w:ascii="宋体" w:hAnsi="宋体" w:cs="宋体"/>
          <w:szCs w:val="21"/>
        </w:rPr>
        <w:t>‌联系人：</w:t>
      </w:r>
      <w:r>
        <w:rPr>
          <w:rFonts w:hint="eastAsia" w:ascii="宋体" w:hAnsi="宋体" w:cs="宋体"/>
          <w:szCs w:val="21"/>
          <w:u w:val="single"/>
        </w:rPr>
        <w:t xml:space="preserve">            </w:t>
      </w:r>
    </w:p>
    <w:p w14:paraId="7C45EA32">
      <w:pPr>
        <w:spacing w:line="440" w:lineRule="exact"/>
        <w:rPr>
          <w:rFonts w:hint="eastAsia" w:ascii="宋体" w:hAnsi="宋体" w:cs="宋体"/>
          <w:szCs w:val="21"/>
        </w:rPr>
      </w:pPr>
      <w:r>
        <w:rPr>
          <w:rFonts w:hint="eastAsia" w:ascii="宋体" w:hAnsi="宋体" w:cs="宋体"/>
          <w:szCs w:val="21"/>
        </w:rPr>
        <w:t>‌联系电话：</w:t>
      </w:r>
      <w:r>
        <w:rPr>
          <w:rFonts w:hint="eastAsia" w:ascii="宋体" w:hAnsi="宋体" w:cs="宋体"/>
          <w:szCs w:val="21"/>
          <w:u w:val="single"/>
        </w:rPr>
        <w:t xml:space="preserve">            </w:t>
      </w:r>
    </w:p>
    <w:p w14:paraId="21366804">
      <w:pPr>
        <w:spacing w:line="440" w:lineRule="exact"/>
        <w:rPr>
          <w:rFonts w:hint="eastAsia" w:ascii="宋体" w:hAnsi="宋体" w:cs="宋体"/>
          <w:szCs w:val="21"/>
        </w:rPr>
      </w:pPr>
    </w:p>
    <w:p w14:paraId="1590B40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为明确甲、乙</w:t>
      </w:r>
      <w:r>
        <w:rPr>
          <w:rFonts w:hint="eastAsia" w:ascii="宋体" w:hAnsi="宋体" w:eastAsia="宋体" w:cs="宋体"/>
          <w:color w:val="auto"/>
          <w:sz w:val="21"/>
          <w:szCs w:val="21"/>
          <w:highlight w:val="none"/>
          <w:lang w:val="en-US" w:eastAsia="zh-CN"/>
        </w:rPr>
        <w:t>双</w:t>
      </w:r>
      <w:r>
        <w:rPr>
          <w:rFonts w:hint="eastAsia" w:ascii="宋体" w:hAnsi="宋体" w:eastAsia="宋体" w:cs="宋体"/>
          <w:color w:val="auto"/>
          <w:sz w:val="21"/>
          <w:szCs w:val="21"/>
          <w:highlight w:val="none"/>
        </w:rPr>
        <w:t>方在本次采购合作中的权利与义务，依据《中华人民共和国民法典》及相关法律法规，经甲、乙</w:t>
      </w:r>
      <w:r>
        <w:rPr>
          <w:rFonts w:hint="eastAsia" w:ascii="宋体" w:hAnsi="宋体" w:eastAsia="宋体" w:cs="宋体"/>
          <w:color w:val="auto"/>
          <w:sz w:val="21"/>
          <w:szCs w:val="21"/>
          <w:highlight w:val="none"/>
          <w:lang w:val="en-US" w:eastAsia="zh-CN"/>
        </w:rPr>
        <w:t>双</w:t>
      </w:r>
      <w:r>
        <w:rPr>
          <w:rFonts w:hint="eastAsia" w:ascii="宋体" w:hAnsi="宋体" w:eastAsia="宋体" w:cs="宋体"/>
          <w:color w:val="auto"/>
          <w:sz w:val="21"/>
          <w:szCs w:val="21"/>
          <w:highlight w:val="none"/>
        </w:rPr>
        <w:t>方友好协商，达成如下协议：</w:t>
      </w:r>
    </w:p>
    <w:p w14:paraId="0CD738E2">
      <w:pPr>
        <w:keepNext w:val="0"/>
        <w:keepLines w:val="0"/>
        <w:pageBreakBefore w:val="0"/>
        <w:widowControl w:val="0"/>
        <w:kinsoku/>
        <w:wordWrap/>
        <w:overflowPunct/>
        <w:topLinePunct w:val="0"/>
        <w:autoSpaceDE/>
        <w:autoSpaceDN/>
        <w:bidi w:val="0"/>
        <w:adjustRightInd/>
        <w:snapToGrid/>
        <w:spacing w:line="440" w:lineRule="exact"/>
        <w:ind w:firstLine="211" w:firstLineChars="1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‌第一条 采购产品、价格及交付</w:t>
      </w:r>
      <w:r>
        <w:rPr>
          <w:rFonts w:hint="eastAsia" w:ascii="宋体" w:hAnsi="宋体" w:eastAsia="宋体" w:cs="宋体"/>
          <w:color w:val="auto"/>
          <w:sz w:val="21"/>
          <w:szCs w:val="21"/>
          <w:highlight w:val="none"/>
        </w:rPr>
        <w:t>‌</w:t>
      </w:r>
    </w:p>
    <w:p w14:paraId="5E69667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采购产品清单：具体产品品牌、型号、配置、数量、单价、总价等详见附件一《采购清单》。《采购清单》经</w:t>
      </w:r>
      <w:r>
        <w:rPr>
          <w:rFonts w:hint="eastAsia" w:ascii="宋体" w:hAnsi="宋体" w:eastAsia="宋体" w:cs="宋体"/>
          <w:color w:val="auto"/>
          <w:sz w:val="21"/>
          <w:szCs w:val="21"/>
          <w:highlight w:val="none"/>
          <w:lang w:val="en-US" w:eastAsia="zh-CN"/>
        </w:rPr>
        <w:t>双</w:t>
      </w:r>
      <w:r>
        <w:rPr>
          <w:rFonts w:hint="eastAsia" w:ascii="宋体" w:hAnsi="宋体" w:eastAsia="宋体" w:cs="宋体"/>
          <w:color w:val="auto"/>
          <w:sz w:val="21"/>
          <w:szCs w:val="21"/>
          <w:highlight w:val="none"/>
        </w:rPr>
        <w:t>方盖章确认后作为本合同不可分割的组成部分，与本合同具有同等法律效力。</w:t>
      </w:r>
    </w:p>
    <w:p w14:paraId="52A978D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交货时间：</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应在收到本合同约定的</w:t>
      </w:r>
      <w:r>
        <w:rPr>
          <w:rFonts w:hint="eastAsia" w:ascii="宋体" w:hAnsi="宋体" w:eastAsia="宋体" w:cs="宋体"/>
          <w:color w:val="auto"/>
          <w:sz w:val="21"/>
          <w:szCs w:val="21"/>
          <w:highlight w:val="none"/>
          <w:lang w:val="en-US" w:eastAsia="zh-CN"/>
        </w:rPr>
        <w:t>预付款</w:t>
      </w:r>
      <w:r>
        <w:rPr>
          <w:rFonts w:hint="eastAsia" w:ascii="宋体" w:hAnsi="宋体" w:eastAsia="宋体" w:cs="宋体"/>
          <w:color w:val="auto"/>
          <w:sz w:val="21"/>
          <w:szCs w:val="21"/>
          <w:highlight w:val="none"/>
        </w:rPr>
        <w:t>后</w:t>
      </w:r>
      <w:r>
        <w:rPr>
          <w:rFonts w:hint="eastAsia" w:ascii="宋体" w:hAnsi="宋体" w:eastAsia="宋体" w:cs="宋体"/>
          <w:color w:val="auto"/>
          <w:sz w:val="21"/>
          <w:szCs w:val="21"/>
          <w:highlight w:val="none"/>
          <w:u w:val="single"/>
          <w:lang w:val="en-US" w:eastAsia="zh-CN"/>
        </w:rPr>
        <w:t xml:space="preserve"> 20 </w:t>
      </w:r>
      <w:r>
        <w:rPr>
          <w:rFonts w:hint="eastAsia" w:ascii="宋体" w:hAnsi="宋体" w:eastAsia="宋体" w:cs="宋体"/>
          <w:color w:val="auto"/>
          <w:sz w:val="21"/>
          <w:szCs w:val="21"/>
          <w:highlight w:val="none"/>
        </w:rPr>
        <w:t>个</w:t>
      </w:r>
      <w:r>
        <w:rPr>
          <w:rFonts w:hint="eastAsia" w:ascii="宋体" w:hAnsi="宋体" w:eastAsia="宋体" w:cs="宋体"/>
          <w:color w:val="auto"/>
          <w:sz w:val="21"/>
          <w:szCs w:val="21"/>
          <w:highlight w:val="none"/>
          <w:lang w:val="en-US" w:eastAsia="zh-CN"/>
        </w:rPr>
        <w:t>日历天</w:t>
      </w:r>
      <w:r>
        <w:rPr>
          <w:rFonts w:hint="eastAsia" w:ascii="宋体" w:hAnsi="宋体" w:eastAsia="宋体" w:cs="宋体"/>
          <w:color w:val="auto"/>
          <w:sz w:val="21"/>
          <w:szCs w:val="21"/>
          <w:highlight w:val="none"/>
        </w:rPr>
        <w:t>内，将全部货物交付至甲方指定地点。</w:t>
      </w:r>
    </w:p>
    <w:p w14:paraId="7BA95ED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交货地点：</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（甲方指定地点）。</w:t>
      </w:r>
    </w:p>
    <w:p w14:paraId="70664A4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交货方式：</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负责将货物安全运送至交货地点并承担全部运输费用、装卸费用及运输风险。货物交付甲方验收合格前，毁损、灭失的风险由</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承担。</w:t>
      </w:r>
    </w:p>
    <w:p w14:paraId="0041C417">
      <w:pPr>
        <w:keepNext w:val="0"/>
        <w:keepLines w:val="0"/>
        <w:pageBreakBefore w:val="0"/>
        <w:widowControl w:val="0"/>
        <w:kinsoku/>
        <w:wordWrap/>
        <w:overflowPunct/>
        <w:topLinePunct w:val="0"/>
        <w:autoSpaceDE/>
        <w:autoSpaceDN/>
        <w:bidi w:val="0"/>
        <w:adjustRightInd/>
        <w:snapToGrid/>
        <w:spacing w:line="440" w:lineRule="exact"/>
        <w:ind w:firstLine="211" w:firstLineChars="1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‌第二条 产品验收‌</w:t>
      </w:r>
    </w:p>
    <w:p w14:paraId="68409FC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验收标准：</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交付的产品应</w:t>
      </w:r>
      <w:r>
        <w:rPr>
          <w:rFonts w:hint="eastAsia" w:ascii="宋体" w:hAnsi="宋体" w:eastAsia="宋体" w:cs="宋体"/>
          <w:color w:val="auto"/>
          <w:sz w:val="21"/>
          <w:szCs w:val="21"/>
          <w:highlight w:val="none"/>
          <w:lang w:val="en-US" w:eastAsia="zh-CN"/>
        </w:rPr>
        <w:t>为全新产品，附带产品合格证及保修书并</w:t>
      </w:r>
      <w:r>
        <w:rPr>
          <w:rFonts w:hint="eastAsia" w:ascii="宋体" w:hAnsi="宋体" w:eastAsia="宋体" w:cs="宋体"/>
          <w:color w:val="auto"/>
          <w:sz w:val="21"/>
          <w:szCs w:val="21"/>
          <w:highlight w:val="none"/>
        </w:rPr>
        <w:t>符合国家相关质量标准、产品出厂标准以及《采购清单》中约定的规格、配置与性能要求。</w:t>
      </w:r>
    </w:p>
    <w:p w14:paraId="4792478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lang w:val="en-US" w:eastAsia="zh-CN"/>
        </w:rPr>
        <w:t>验收方：甲乙方双方共同负责验收，验收结果达成一致后才成为最终验收结果。</w:t>
      </w:r>
    </w:p>
    <w:p w14:paraId="59A4700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验收期限：甲方应在收到货物后</w:t>
      </w:r>
      <w:r>
        <w:rPr>
          <w:rFonts w:hint="eastAsia" w:ascii="宋体" w:hAnsi="宋体" w:eastAsia="宋体" w:cs="宋体"/>
          <w:color w:val="auto"/>
          <w:sz w:val="21"/>
          <w:szCs w:val="21"/>
          <w:highlight w:val="none"/>
          <w:u w:val="single"/>
          <w:lang w:val="en-US" w:eastAsia="zh-CN"/>
        </w:rPr>
        <w:t xml:space="preserve"> 5 </w:t>
      </w:r>
      <w:r>
        <w:rPr>
          <w:rFonts w:hint="eastAsia" w:ascii="宋体" w:hAnsi="宋体" w:eastAsia="宋体" w:cs="宋体"/>
          <w:color w:val="auto"/>
          <w:sz w:val="21"/>
          <w:szCs w:val="21"/>
          <w:highlight w:val="none"/>
        </w:rPr>
        <w:t>个工作日内，依据《采购清单》对产品的型号、数量、外观、基本功能等进行开箱清点与初步验收。安装调试完毕后，甲方应在</w:t>
      </w:r>
      <w:r>
        <w:rPr>
          <w:rFonts w:hint="eastAsia" w:ascii="宋体" w:hAnsi="宋体" w:eastAsia="宋体" w:cs="宋体"/>
          <w:color w:val="auto"/>
          <w:sz w:val="21"/>
          <w:szCs w:val="21"/>
          <w:highlight w:val="none"/>
          <w:u w:val="single"/>
          <w:lang w:val="en-US" w:eastAsia="zh-CN"/>
        </w:rPr>
        <w:t xml:space="preserve"> 5 </w:t>
      </w:r>
      <w:r>
        <w:rPr>
          <w:rFonts w:hint="eastAsia" w:ascii="宋体" w:hAnsi="宋体" w:eastAsia="宋体" w:cs="宋体"/>
          <w:color w:val="auto"/>
          <w:sz w:val="21"/>
          <w:szCs w:val="21"/>
          <w:highlight w:val="none"/>
        </w:rPr>
        <w:t>个工作日内完成最终验收。</w:t>
      </w:r>
    </w:p>
    <w:p w14:paraId="35057EA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验收结果处理：验收合格的，由甲方签署验收合格确认文件。验收发现数量短缺、型号不符、配置不符或存在质量瑕疵的，甲方有权要求</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u w:val="single"/>
          <w:lang w:val="en-US" w:eastAsia="zh-CN"/>
        </w:rPr>
        <w:t xml:space="preserve"> 3 </w:t>
      </w:r>
      <w:r>
        <w:rPr>
          <w:rFonts w:hint="eastAsia" w:ascii="宋体" w:hAnsi="宋体" w:eastAsia="宋体" w:cs="宋体"/>
          <w:color w:val="auto"/>
          <w:sz w:val="21"/>
          <w:szCs w:val="21"/>
          <w:highlight w:val="none"/>
        </w:rPr>
        <w:t>个工作日内无条件更换、补足或退货，因此产生的费用由</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承担；若因此导致交货延迟，</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应按本合同约定承担违约责任。</w:t>
      </w:r>
    </w:p>
    <w:p w14:paraId="40361078">
      <w:pPr>
        <w:keepNext w:val="0"/>
        <w:keepLines w:val="0"/>
        <w:pageBreakBefore w:val="0"/>
        <w:widowControl w:val="0"/>
        <w:kinsoku/>
        <w:wordWrap/>
        <w:overflowPunct/>
        <w:topLinePunct w:val="0"/>
        <w:autoSpaceDE/>
        <w:autoSpaceDN/>
        <w:bidi w:val="0"/>
        <w:adjustRightInd/>
        <w:snapToGrid/>
        <w:spacing w:line="440" w:lineRule="exact"/>
        <w:ind w:firstLine="211" w:firstLineChars="1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‌第三条 付款方式‌</w:t>
      </w:r>
    </w:p>
    <w:p w14:paraId="3349BE5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本合同项下采购总价款为人民币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元（大写：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元整）。该总价已包含但不限于货物价款、税费、运输费、保险费、包装费、安装调试费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装饰装修、售后服务费</w:t>
      </w:r>
      <w:r>
        <w:rPr>
          <w:rFonts w:hint="eastAsia" w:ascii="宋体" w:hAnsi="宋体" w:eastAsia="宋体" w:cs="宋体"/>
          <w:color w:val="auto"/>
          <w:sz w:val="21"/>
          <w:szCs w:val="21"/>
          <w:highlight w:val="none"/>
        </w:rPr>
        <w:t>等</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为履行本合同义务所需的一切费用。</w:t>
      </w:r>
    </w:p>
    <w:p w14:paraId="79657BC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付款安排如下：</w:t>
      </w:r>
    </w:p>
    <w:p w14:paraId="20071E3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（1）本合同签订后</w:t>
      </w:r>
      <w:r>
        <w:rPr>
          <w:rFonts w:hint="eastAsia" w:ascii="宋体" w:hAnsi="宋体" w:eastAsia="宋体" w:cs="宋体"/>
          <w:color w:val="auto"/>
          <w:sz w:val="21"/>
          <w:szCs w:val="21"/>
          <w:highlight w:val="none"/>
          <w:lang w:val="en-US" w:eastAsia="zh-CN"/>
        </w:rPr>
        <w:t xml:space="preserve"> 7 </w:t>
      </w:r>
      <w:r>
        <w:rPr>
          <w:rFonts w:hint="eastAsia" w:ascii="宋体" w:hAnsi="宋体" w:eastAsia="宋体" w:cs="宋体"/>
          <w:color w:val="auto"/>
          <w:sz w:val="21"/>
          <w:szCs w:val="21"/>
          <w:highlight w:val="none"/>
        </w:rPr>
        <w:t>个工作日内，由</w:t>
      </w:r>
      <w:r>
        <w:rPr>
          <w:rFonts w:hint="eastAsia" w:ascii="宋体" w:hAnsi="宋体" w:eastAsia="宋体" w:cs="宋体"/>
          <w:color w:val="auto"/>
          <w:sz w:val="21"/>
          <w:szCs w:val="21"/>
          <w:highlight w:val="none"/>
          <w:lang w:val="en-US" w:eastAsia="zh-CN"/>
        </w:rPr>
        <w:t>甲</w:t>
      </w:r>
      <w:r>
        <w:rPr>
          <w:rFonts w:hint="eastAsia" w:ascii="宋体" w:hAnsi="宋体" w:eastAsia="宋体" w:cs="宋体"/>
          <w:color w:val="auto"/>
          <w:sz w:val="21"/>
          <w:szCs w:val="21"/>
          <w:highlight w:val="none"/>
        </w:rPr>
        <w:t>方将合同总价款的</w:t>
      </w:r>
      <w:r>
        <w:rPr>
          <w:rFonts w:hint="eastAsia" w:ascii="宋体" w:hAnsi="宋体" w:eastAsia="宋体" w:cs="宋体"/>
          <w:color w:val="auto"/>
          <w:sz w:val="21"/>
          <w:szCs w:val="21"/>
          <w:highlight w:val="none"/>
          <w:u w:val="single"/>
          <w:lang w:val="en-US" w:eastAsia="zh-CN"/>
        </w:rPr>
        <w:t xml:space="preserve"> 20 </w:t>
      </w:r>
      <w:r>
        <w:rPr>
          <w:rFonts w:hint="eastAsia" w:ascii="宋体" w:hAnsi="宋体" w:eastAsia="宋体" w:cs="宋体"/>
          <w:color w:val="auto"/>
          <w:sz w:val="21"/>
          <w:szCs w:val="21"/>
          <w:highlight w:val="none"/>
        </w:rPr>
        <w:t>%，即人民币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val="en-US" w:eastAsia="zh-CN"/>
        </w:rPr>
        <w:t>作为预付款</w:t>
      </w:r>
      <w:r>
        <w:rPr>
          <w:rFonts w:hint="eastAsia" w:ascii="宋体" w:hAnsi="宋体" w:eastAsia="宋体" w:cs="宋体"/>
          <w:color w:val="auto"/>
          <w:sz w:val="21"/>
          <w:szCs w:val="21"/>
          <w:highlight w:val="none"/>
        </w:rPr>
        <w:t>支付至</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指定账户。</w:t>
      </w:r>
    </w:p>
    <w:p w14:paraId="75CD215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收到预付款后，</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0个日历天内将全部货物运抵甲方指定地点并经甲</w:t>
      </w:r>
      <w:r>
        <w:rPr>
          <w:rFonts w:hint="eastAsia" w:ascii="宋体" w:hAnsi="宋体" w:eastAsia="宋体" w:cs="宋体"/>
          <w:color w:val="auto"/>
          <w:sz w:val="21"/>
          <w:szCs w:val="21"/>
          <w:highlight w:val="none"/>
          <w:lang w:val="en-US" w:eastAsia="zh-CN"/>
        </w:rPr>
        <w:t>乙</w:t>
      </w:r>
      <w:r>
        <w:rPr>
          <w:rFonts w:hint="eastAsia" w:ascii="宋体" w:hAnsi="宋体" w:eastAsia="宋体" w:cs="宋体"/>
          <w:color w:val="auto"/>
          <w:sz w:val="21"/>
          <w:szCs w:val="21"/>
          <w:highlight w:val="none"/>
        </w:rPr>
        <w:t>方初步验收合格</w:t>
      </w:r>
      <w:r>
        <w:rPr>
          <w:rFonts w:hint="eastAsia" w:ascii="宋体" w:hAnsi="宋体" w:eastAsia="宋体" w:cs="宋体"/>
          <w:color w:val="auto"/>
          <w:sz w:val="21"/>
          <w:szCs w:val="21"/>
          <w:highlight w:val="none"/>
          <w:lang w:eastAsia="zh-CN"/>
        </w:rPr>
        <w:t>，全部货物安装调试完毕、</w:t>
      </w:r>
      <w:r>
        <w:rPr>
          <w:rFonts w:hint="eastAsia" w:ascii="宋体" w:hAnsi="宋体" w:eastAsia="宋体" w:cs="宋体"/>
          <w:color w:val="auto"/>
          <w:sz w:val="21"/>
          <w:szCs w:val="21"/>
          <w:highlight w:val="none"/>
          <w:lang w:val="en-US" w:eastAsia="zh-CN"/>
        </w:rPr>
        <w:t>装饰装修完毕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软件</w:t>
      </w:r>
      <w:r>
        <w:rPr>
          <w:rFonts w:hint="eastAsia" w:ascii="宋体" w:hAnsi="宋体" w:eastAsia="宋体" w:cs="宋体"/>
          <w:color w:val="auto"/>
          <w:sz w:val="21"/>
          <w:szCs w:val="21"/>
          <w:highlight w:val="none"/>
        </w:rPr>
        <w:t>系统调试完成后</w:t>
      </w:r>
      <w:r>
        <w:rPr>
          <w:rFonts w:hint="eastAsia" w:ascii="宋体" w:hAnsi="宋体" w:eastAsia="宋体" w:cs="宋体"/>
          <w:color w:val="auto"/>
          <w:sz w:val="21"/>
          <w:szCs w:val="21"/>
          <w:highlight w:val="none"/>
          <w:lang w:val="en-US" w:eastAsia="zh-CN"/>
        </w:rPr>
        <w:t xml:space="preserve"> 10 </w:t>
      </w:r>
      <w:r>
        <w:rPr>
          <w:rFonts w:hint="eastAsia" w:ascii="宋体" w:hAnsi="宋体" w:eastAsia="宋体" w:cs="宋体"/>
          <w:color w:val="auto"/>
          <w:sz w:val="21"/>
          <w:szCs w:val="21"/>
          <w:highlight w:val="none"/>
        </w:rPr>
        <w:t>个工作日内，由</w:t>
      </w:r>
      <w:r>
        <w:rPr>
          <w:rFonts w:hint="eastAsia" w:ascii="宋体" w:hAnsi="宋体" w:eastAsia="宋体" w:cs="宋体"/>
          <w:color w:val="auto"/>
          <w:sz w:val="21"/>
          <w:szCs w:val="21"/>
          <w:highlight w:val="none"/>
          <w:lang w:val="en-US" w:eastAsia="zh-CN"/>
        </w:rPr>
        <w:t>甲</w:t>
      </w:r>
      <w:r>
        <w:rPr>
          <w:rFonts w:hint="eastAsia" w:ascii="宋体" w:hAnsi="宋体" w:eastAsia="宋体" w:cs="宋体"/>
          <w:color w:val="auto"/>
          <w:sz w:val="21"/>
          <w:szCs w:val="21"/>
          <w:highlight w:val="none"/>
        </w:rPr>
        <w:t>方将合同总价款的</w:t>
      </w:r>
      <w:r>
        <w:rPr>
          <w:rFonts w:hint="eastAsia" w:ascii="宋体" w:hAnsi="宋体" w:eastAsia="宋体" w:cs="宋体"/>
          <w:color w:val="auto"/>
          <w:sz w:val="21"/>
          <w:szCs w:val="21"/>
          <w:highlight w:val="none"/>
          <w:u w:val="single"/>
          <w:lang w:val="en-US" w:eastAsia="zh-CN"/>
        </w:rPr>
        <w:t xml:space="preserve"> 77%</w:t>
      </w:r>
      <w:r>
        <w:rPr>
          <w:rFonts w:hint="eastAsia" w:ascii="宋体" w:hAnsi="宋体" w:eastAsia="宋体" w:cs="宋体"/>
          <w:color w:val="auto"/>
          <w:sz w:val="21"/>
          <w:szCs w:val="21"/>
          <w:highlight w:val="none"/>
        </w:rPr>
        <w:t>，即人民币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元支付至</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指定账户。</w:t>
      </w:r>
    </w:p>
    <w:p w14:paraId="52C8EE3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（3）质保期满后产品无质量问题，</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u w:val="single"/>
          <w:lang w:val="en-US" w:eastAsia="zh-CN"/>
        </w:rPr>
        <w:t xml:space="preserve"> 15 </w:t>
      </w:r>
      <w:r>
        <w:rPr>
          <w:rFonts w:hint="eastAsia" w:ascii="宋体" w:hAnsi="宋体" w:eastAsia="宋体" w:cs="宋体"/>
          <w:color w:val="auto"/>
          <w:sz w:val="21"/>
          <w:szCs w:val="21"/>
          <w:highlight w:val="none"/>
        </w:rPr>
        <w:t>日内向</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付清剩余合同总价款的</w:t>
      </w:r>
      <w:r>
        <w:rPr>
          <w:rFonts w:hint="eastAsia" w:ascii="宋体" w:hAnsi="宋体" w:eastAsia="宋体" w:cs="宋体"/>
          <w:color w:val="auto"/>
          <w:sz w:val="21"/>
          <w:szCs w:val="21"/>
          <w:highlight w:val="none"/>
          <w:lang w:val="en-US" w:eastAsia="zh-CN"/>
        </w:rPr>
        <w:t xml:space="preserve"> 3 </w:t>
      </w:r>
      <w:r>
        <w:rPr>
          <w:rFonts w:hint="eastAsia" w:ascii="宋体" w:hAnsi="宋体" w:eastAsia="宋体" w:cs="宋体"/>
          <w:color w:val="auto"/>
          <w:sz w:val="21"/>
          <w:szCs w:val="21"/>
          <w:highlight w:val="none"/>
        </w:rPr>
        <w:t>%，即人民币</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元。</w:t>
      </w:r>
    </w:p>
    <w:p w14:paraId="62A79E5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3.乙方</w:t>
      </w:r>
      <w:r>
        <w:rPr>
          <w:rFonts w:hint="eastAsia" w:ascii="宋体" w:hAnsi="宋体" w:eastAsia="宋体" w:cs="宋体"/>
          <w:color w:val="auto"/>
          <w:sz w:val="21"/>
          <w:szCs w:val="21"/>
          <w:highlight w:val="none"/>
        </w:rPr>
        <w:t>在每次收款前，须向付款方（</w:t>
      </w:r>
      <w:r>
        <w:rPr>
          <w:rFonts w:hint="eastAsia" w:ascii="宋体" w:hAnsi="宋体" w:eastAsia="宋体" w:cs="宋体"/>
          <w:color w:val="auto"/>
          <w:sz w:val="21"/>
          <w:szCs w:val="21"/>
          <w:highlight w:val="none"/>
          <w:lang w:val="en-US" w:eastAsia="zh-CN"/>
        </w:rPr>
        <w:t>甲</w:t>
      </w:r>
      <w:r>
        <w:rPr>
          <w:rFonts w:hint="eastAsia" w:ascii="宋体" w:hAnsi="宋体" w:eastAsia="宋体" w:cs="宋体"/>
          <w:color w:val="auto"/>
          <w:sz w:val="21"/>
          <w:szCs w:val="21"/>
          <w:highlight w:val="none"/>
        </w:rPr>
        <w:t>方）开具准确、合法、有效的等额增值税</w:t>
      </w:r>
      <w:r>
        <w:rPr>
          <w:rFonts w:hint="eastAsia" w:ascii="宋体" w:hAnsi="宋体" w:eastAsia="宋体" w:cs="宋体"/>
          <w:color w:val="auto"/>
          <w:sz w:val="21"/>
          <w:szCs w:val="21"/>
          <w:highlight w:val="none"/>
          <w:lang w:val="en-US" w:eastAsia="zh-CN"/>
        </w:rPr>
        <w:t>普通</w:t>
      </w:r>
      <w:r>
        <w:rPr>
          <w:rFonts w:hint="eastAsia" w:ascii="宋体" w:hAnsi="宋体" w:eastAsia="宋体" w:cs="宋体"/>
          <w:color w:val="auto"/>
          <w:sz w:val="21"/>
          <w:szCs w:val="21"/>
          <w:highlight w:val="none"/>
        </w:rPr>
        <w:t>发票。</w:t>
      </w:r>
    </w:p>
    <w:p w14:paraId="28850EBB">
      <w:pPr>
        <w:keepNext w:val="0"/>
        <w:keepLines w:val="0"/>
        <w:pageBreakBefore w:val="0"/>
        <w:widowControl w:val="0"/>
        <w:kinsoku/>
        <w:wordWrap/>
        <w:overflowPunct/>
        <w:topLinePunct w:val="0"/>
        <w:autoSpaceDE/>
        <w:autoSpaceDN/>
        <w:bidi w:val="0"/>
        <w:adjustRightInd/>
        <w:snapToGrid/>
        <w:spacing w:line="440" w:lineRule="exact"/>
        <w:ind w:firstLine="211" w:firstLineChars="1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‌第四条 售后服务与保修‌</w:t>
      </w:r>
    </w:p>
    <w:p w14:paraId="059966E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1.乙方</w:t>
      </w:r>
      <w:r>
        <w:rPr>
          <w:rFonts w:hint="eastAsia" w:ascii="宋体" w:hAnsi="宋体" w:eastAsia="宋体" w:cs="宋体"/>
          <w:color w:val="auto"/>
          <w:sz w:val="21"/>
          <w:szCs w:val="21"/>
          <w:highlight w:val="none"/>
        </w:rPr>
        <w:t>承诺为本合同项下所有产品提供自甲方最终验收合格之日起为期</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年的免费保修服务</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。保修期内，产品出现非人为原因造成的性能故障，</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负责免费维修或更换。‌</w:t>
      </w:r>
    </w:p>
    <w:p w14:paraId="25EA77B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2.乙方</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u w:val="single"/>
          <w:lang w:val="en-US" w:eastAsia="zh-CN"/>
        </w:rPr>
        <w:t xml:space="preserve"> 2 </w:t>
      </w:r>
      <w:r>
        <w:rPr>
          <w:rFonts w:hint="eastAsia" w:ascii="宋体" w:hAnsi="宋体" w:eastAsia="宋体" w:cs="宋体"/>
          <w:color w:val="auto"/>
          <w:sz w:val="21"/>
          <w:szCs w:val="21"/>
          <w:highlight w:val="none"/>
        </w:rPr>
        <w:t>年免费上门技术支持服务。甲方在使用过程中遇到技术问题，</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应在接到通知后</w:t>
      </w:r>
      <w:r>
        <w:rPr>
          <w:rFonts w:hint="eastAsia" w:ascii="宋体" w:hAnsi="宋体" w:eastAsia="宋体" w:cs="宋体"/>
          <w:color w:val="auto"/>
          <w:sz w:val="21"/>
          <w:szCs w:val="21"/>
          <w:highlight w:val="none"/>
          <w:u w:val="single"/>
          <w:lang w:val="en-US" w:eastAsia="zh-CN"/>
        </w:rPr>
        <w:t xml:space="preserve"> 24 </w:t>
      </w:r>
      <w:r>
        <w:rPr>
          <w:rFonts w:hint="eastAsia" w:ascii="宋体" w:hAnsi="宋体" w:eastAsia="宋体" w:cs="宋体"/>
          <w:color w:val="auto"/>
          <w:sz w:val="21"/>
          <w:szCs w:val="21"/>
          <w:highlight w:val="none"/>
        </w:rPr>
        <w:t>小时内响应，</w:t>
      </w:r>
      <w:r>
        <w:rPr>
          <w:rFonts w:hint="eastAsia" w:ascii="宋体" w:hAnsi="宋体" w:eastAsia="宋体" w:cs="宋体"/>
          <w:color w:val="auto"/>
          <w:sz w:val="21"/>
          <w:szCs w:val="21"/>
          <w:highlight w:val="none"/>
          <w:u w:val="single"/>
          <w:lang w:val="en-US" w:eastAsia="zh-CN"/>
        </w:rPr>
        <w:t xml:space="preserve"> 2 </w:t>
      </w:r>
      <w:r>
        <w:rPr>
          <w:rFonts w:hint="eastAsia" w:ascii="宋体" w:hAnsi="宋体" w:eastAsia="宋体" w:cs="宋体"/>
          <w:color w:val="auto"/>
          <w:sz w:val="21"/>
          <w:szCs w:val="21"/>
          <w:highlight w:val="none"/>
        </w:rPr>
        <w:t>个工作日内派技术人员上门解决。‌</w:t>
      </w:r>
    </w:p>
    <w:p w14:paraId="4C37409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保修期届满后，</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承诺继续以优惠价格向甲方提供有偿维修与技术支持服务。</w:t>
      </w:r>
    </w:p>
    <w:p w14:paraId="20953894">
      <w:pPr>
        <w:keepNext w:val="0"/>
        <w:keepLines w:val="0"/>
        <w:pageBreakBefore w:val="0"/>
        <w:widowControl w:val="0"/>
        <w:kinsoku/>
        <w:wordWrap/>
        <w:overflowPunct/>
        <w:topLinePunct w:val="0"/>
        <w:autoSpaceDE/>
        <w:autoSpaceDN/>
        <w:bidi w:val="0"/>
        <w:adjustRightInd/>
        <w:snapToGrid/>
        <w:spacing w:line="440" w:lineRule="exact"/>
        <w:ind w:firstLine="211" w:firstLineChars="1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‌第五条 </w:t>
      </w:r>
      <w:r>
        <w:rPr>
          <w:rFonts w:hint="eastAsia" w:ascii="宋体" w:hAnsi="宋体" w:eastAsia="宋体" w:cs="宋体"/>
          <w:b/>
          <w:bCs/>
          <w:color w:val="auto"/>
          <w:sz w:val="21"/>
          <w:szCs w:val="21"/>
          <w:highlight w:val="none"/>
          <w:lang w:val="en-US" w:eastAsia="zh-CN"/>
        </w:rPr>
        <w:t>甲乙双方的</w:t>
      </w:r>
      <w:r>
        <w:rPr>
          <w:rFonts w:hint="eastAsia" w:ascii="宋体" w:hAnsi="宋体" w:eastAsia="宋体" w:cs="宋体"/>
          <w:b/>
          <w:bCs/>
          <w:color w:val="auto"/>
          <w:sz w:val="21"/>
          <w:szCs w:val="21"/>
          <w:highlight w:val="none"/>
        </w:rPr>
        <w:t>权利与义务‌</w:t>
      </w:r>
    </w:p>
    <w:p w14:paraId="5337920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‌甲方权利与义务：‌</w:t>
      </w:r>
    </w:p>
    <w:p w14:paraId="7DE8DEC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按照本合同约定及时组织验收，并出具验收文件。</w:t>
      </w:r>
    </w:p>
    <w:p w14:paraId="5996ACC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享有本合同约定的产品保修及售后服务权利。</w:t>
      </w:r>
    </w:p>
    <w:p w14:paraId="769A5F1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按照本合同第三条约定的时间、金额向</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支付货款。</w:t>
      </w:r>
    </w:p>
    <w:p w14:paraId="68BFF57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‌乙方权利与义务：‌‌</w:t>
      </w:r>
    </w:p>
    <w:p w14:paraId="29FDED5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rPr>
        <w:t>保证对所供产品拥有合法所有权，产品质量合格，符合合同约定。</w:t>
      </w:r>
    </w:p>
    <w:p w14:paraId="4DE04EB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负责产品的包装、运输、装卸、安装调试至正常运行，并对操作人员进行必要的现场培训。</w:t>
      </w:r>
    </w:p>
    <w:p w14:paraId="7B33E84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rPr>
        <w:t>按本合同约定履行保修及售后服务义务。</w:t>
      </w:r>
    </w:p>
    <w:p w14:paraId="6AFD3FB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2.4</w:t>
      </w:r>
      <w:r>
        <w:rPr>
          <w:rFonts w:hint="eastAsia" w:ascii="宋体" w:hAnsi="宋体" w:eastAsia="宋体" w:cs="宋体"/>
          <w:color w:val="auto"/>
          <w:sz w:val="21"/>
          <w:szCs w:val="21"/>
          <w:highlight w:val="none"/>
        </w:rPr>
        <w:t>保证所开具的发票真实有效。</w:t>
      </w:r>
    </w:p>
    <w:p w14:paraId="51F5D0A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‌第六条 违约责任‌</w:t>
      </w:r>
    </w:p>
    <w:p w14:paraId="37064D4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1.乙方</w:t>
      </w:r>
      <w:r>
        <w:rPr>
          <w:rFonts w:hint="eastAsia" w:ascii="宋体" w:hAnsi="宋体" w:eastAsia="宋体" w:cs="宋体"/>
          <w:color w:val="auto"/>
          <w:sz w:val="21"/>
          <w:szCs w:val="21"/>
          <w:highlight w:val="none"/>
        </w:rPr>
        <w:t>逾期交货的，每逾期一日，应向甲方支付逾期交货部分货物总金额万分之五的违约金；逾期超过</w:t>
      </w:r>
      <w:r>
        <w:rPr>
          <w:rFonts w:hint="eastAsia" w:ascii="宋体" w:hAnsi="宋体" w:eastAsia="宋体" w:cs="宋体"/>
          <w:color w:val="auto"/>
          <w:sz w:val="21"/>
          <w:szCs w:val="21"/>
          <w:highlight w:val="none"/>
          <w:u w:val="single"/>
          <w:lang w:val="en-US" w:eastAsia="zh-CN"/>
        </w:rPr>
        <w:t xml:space="preserve"> 7 </w:t>
      </w:r>
      <w:r>
        <w:rPr>
          <w:rFonts w:hint="eastAsia" w:ascii="宋体" w:hAnsi="宋体" w:eastAsia="宋体" w:cs="宋体"/>
          <w:color w:val="auto"/>
          <w:sz w:val="21"/>
          <w:szCs w:val="21"/>
          <w:highlight w:val="none"/>
        </w:rPr>
        <w:t>日的，甲方有权单方解除合同，</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除返还已收款外，还应向甲方支付合同总价款</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0%的违约金。‌</w:t>
      </w:r>
    </w:p>
    <w:p w14:paraId="05CAA8F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2.乙方</w:t>
      </w:r>
      <w:r>
        <w:rPr>
          <w:rFonts w:hint="eastAsia" w:ascii="宋体" w:hAnsi="宋体" w:eastAsia="宋体" w:cs="宋体"/>
          <w:color w:val="auto"/>
          <w:sz w:val="21"/>
          <w:szCs w:val="21"/>
          <w:highlight w:val="none"/>
        </w:rPr>
        <w:t>交付的产品不符合合同约定或国家质量标准的，甲方有权拒收或要求退货、换货，</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应承担由此产生的全部费用。若</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未按时更换、补足或修理，视为逾期交货，按前款承担违约责任。‌</w:t>
      </w:r>
    </w:p>
    <w:p w14:paraId="4564A3D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3.甲</w:t>
      </w:r>
      <w:r>
        <w:rPr>
          <w:rFonts w:hint="eastAsia" w:ascii="宋体" w:hAnsi="宋体" w:eastAsia="宋体" w:cs="宋体"/>
          <w:color w:val="auto"/>
          <w:sz w:val="21"/>
          <w:szCs w:val="21"/>
          <w:highlight w:val="none"/>
        </w:rPr>
        <w:t>方未按本合同约定时间支付货款的，每逾期一日，应向</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支付逾期付款金额万分之五的违约金。‌</w:t>
      </w:r>
    </w:p>
    <w:p w14:paraId="244C531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任何一方违反本合同约定，除支付违约金外，还应赔偿给守约方造成的全部损失（包括但不限于直接经济损失、为实现债权而支付的律师费、诉讼费等）。</w:t>
      </w:r>
    </w:p>
    <w:p w14:paraId="0A5DB05E">
      <w:pPr>
        <w:keepNext w:val="0"/>
        <w:keepLines w:val="0"/>
        <w:pageBreakBefore w:val="0"/>
        <w:widowControl w:val="0"/>
        <w:kinsoku/>
        <w:wordWrap/>
        <w:overflowPunct/>
        <w:topLinePunct w:val="0"/>
        <w:autoSpaceDE/>
        <w:autoSpaceDN/>
        <w:bidi w:val="0"/>
        <w:adjustRightInd/>
        <w:snapToGrid/>
        <w:spacing w:line="440" w:lineRule="exact"/>
        <w:ind w:left="490" w:leftChars="133" w:hanging="211" w:hangingChars="1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‌第七条 免责条款‌</w:t>
      </w:r>
    </w:p>
    <w:p w14:paraId="30879A6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因不可抗力（如地震、战争、严重火灾等）、国家法律法规或政策变化导致合同无法履行的，受影响方应及时通知其他方，并提供相关证明，可免除相应违约责任。</w:t>
      </w:r>
    </w:p>
    <w:p w14:paraId="19D50D21">
      <w:pPr>
        <w:keepNext w:val="0"/>
        <w:keepLines w:val="0"/>
        <w:pageBreakBefore w:val="0"/>
        <w:widowControl w:val="0"/>
        <w:kinsoku/>
        <w:wordWrap/>
        <w:overflowPunct/>
        <w:topLinePunct w:val="0"/>
        <w:autoSpaceDE/>
        <w:autoSpaceDN/>
        <w:bidi w:val="0"/>
        <w:adjustRightInd/>
        <w:snapToGrid/>
        <w:spacing w:line="440" w:lineRule="exact"/>
        <w:ind w:left="490" w:leftChars="133" w:hanging="211" w:hangingChars="1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‌第八条 争议解决</w:t>
      </w:r>
      <w:r>
        <w:rPr>
          <w:rFonts w:hint="eastAsia" w:ascii="宋体" w:hAnsi="宋体" w:eastAsia="宋体" w:cs="宋体"/>
          <w:color w:val="auto"/>
          <w:sz w:val="21"/>
          <w:szCs w:val="21"/>
          <w:highlight w:val="none"/>
        </w:rPr>
        <w:t>‌</w:t>
      </w:r>
    </w:p>
    <w:p w14:paraId="4EE1102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因履行本合同发生的一切争议，双方应友好协商解决；协商不成的，任何一方均有权向‌甲方所在地‌有管辖权的人民法院提起诉讼。</w:t>
      </w:r>
      <w:r>
        <w:rPr>
          <w:rFonts w:hint="eastAsia" w:ascii="宋体" w:hAnsi="宋体" w:eastAsia="宋体" w:cs="宋体"/>
          <w:color w:val="auto"/>
          <w:sz w:val="21"/>
          <w:szCs w:val="21"/>
          <w:highlight w:val="none"/>
        </w:rPr>
        <w:t>‌</w:t>
      </w:r>
    </w:p>
    <w:p w14:paraId="6B19CC72">
      <w:pPr>
        <w:keepNext w:val="0"/>
        <w:keepLines w:val="0"/>
        <w:pageBreakBefore w:val="0"/>
        <w:widowControl w:val="0"/>
        <w:kinsoku/>
        <w:wordWrap/>
        <w:overflowPunct/>
        <w:topLinePunct w:val="0"/>
        <w:autoSpaceDE/>
        <w:autoSpaceDN/>
        <w:bidi w:val="0"/>
        <w:adjustRightInd/>
        <w:snapToGrid/>
        <w:spacing w:line="440" w:lineRule="exact"/>
        <w:ind w:left="490" w:leftChars="133" w:hanging="211" w:hangingChars="1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‌第九条 其他约定‌</w:t>
      </w:r>
    </w:p>
    <w:p w14:paraId="2B2C242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本合同一式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份，甲、乙</w:t>
      </w:r>
      <w:r>
        <w:rPr>
          <w:rFonts w:hint="eastAsia" w:ascii="宋体" w:hAnsi="宋体" w:eastAsia="宋体" w:cs="宋体"/>
          <w:color w:val="auto"/>
          <w:sz w:val="21"/>
          <w:szCs w:val="21"/>
          <w:highlight w:val="none"/>
          <w:lang w:val="en-US" w:eastAsia="zh-CN"/>
        </w:rPr>
        <w:t>双</w:t>
      </w:r>
      <w:r>
        <w:rPr>
          <w:rFonts w:hint="eastAsia" w:ascii="宋体" w:hAnsi="宋体" w:eastAsia="宋体" w:cs="宋体"/>
          <w:color w:val="auto"/>
          <w:sz w:val="21"/>
          <w:szCs w:val="21"/>
          <w:highlight w:val="none"/>
        </w:rPr>
        <w:t>方各执</w:t>
      </w:r>
      <w:r>
        <w:rPr>
          <w:rFonts w:hint="eastAsia" w:ascii="宋体" w:hAnsi="宋体" w:eastAsia="宋体" w:cs="宋体"/>
          <w:color w:val="auto"/>
          <w:sz w:val="21"/>
          <w:szCs w:val="21"/>
          <w:highlight w:val="none"/>
          <w:u w:val="single"/>
        </w:rPr>
        <w:t xml:space="preserve"> ‌贰‌ </w:t>
      </w:r>
      <w:r>
        <w:rPr>
          <w:rFonts w:hint="eastAsia" w:ascii="宋体" w:hAnsi="宋体" w:eastAsia="宋体" w:cs="宋体"/>
          <w:color w:val="auto"/>
          <w:sz w:val="21"/>
          <w:szCs w:val="21"/>
          <w:highlight w:val="none"/>
        </w:rPr>
        <w:t>份，具有同等法律效力。</w:t>
      </w:r>
    </w:p>
    <w:p w14:paraId="3884423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本合同</w:t>
      </w:r>
      <w:r>
        <w:rPr>
          <w:rFonts w:hint="eastAsia" w:ascii="宋体" w:hAnsi="宋体" w:eastAsia="宋体" w:cs="宋体"/>
          <w:color w:val="auto"/>
          <w:sz w:val="21"/>
          <w:szCs w:val="21"/>
          <w:highlight w:val="none"/>
          <w:lang w:val="en-US" w:eastAsia="zh-CN"/>
        </w:rPr>
        <w:t>甲乙双</w:t>
      </w:r>
      <w:r>
        <w:rPr>
          <w:rFonts w:hint="eastAsia" w:ascii="宋体" w:hAnsi="宋体" w:eastAsia="宋体" w:cs="宋体"/>
          <w:color w:val="auto"/>
          <w:sz w:val="21"/>
          <w:szCs w:val="21"/>
          <w:highlight w:val="none"/>
        </w:rPr>
        <w:t>方法定代表人或授权代表签字并加盖公章之日起生效。</w:t>
      </w:r>
    </w:p>
    <w:p w14:paraId="52B5B5E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本合同未尽事宜，可由</w:t>
      </w:r>
      <w:r>
        <w:rPr>
          <w:rFonts w:hint="eastAsia" w:ascii="宋体" w:hAnsi="宋体" w:eastAsia="宋体" w:cs="宋体"/>
          <w:color w:val="auto"/>
          <w:sz w:val="21"/>
          <w:szCs w:val="21"/>
          <w:highlight w:val="none"/>
          <w:lang w:val="en-US" w:eastAsia="zh-CN"/>
        </w:rPr>
        <w:t>甲乙双</w:t>
      </w:r>
      <w:r>
        <w:rPr>
          <w:rFonts w:hint="eastAsia" w:ascii="宋体" w:hAnsi="宋体" w:eastAsia="宋体" w:cs="宋体"/>
          <w:color w:val="auto"/>
          <w:sz w:val="21"/>
          <w:szCs w:val="21"/>
          <w:highlight w:val="none"/>
        </w:rPr>
        <w:t>方另行签订书面补充协议，补充协议与本合同具有同等法律效力。‌</w:t>
      </w:r>
    </w:p>
    <w:p w14:paraId="24FF5A6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本合同履行过程中，往来通知应以书面形式（包括但不限于电子邮件、传真）送达以下地址。一方变更地址或联系人的，应提前三日书面通知其他方，否则自行承担不利后果。</w:t>
      </w:r>
    </w:p>
    <w:p w14:paraId="3704C3B0">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1"/>
          <w:highlight w:val="none"/>
        </w:rPr>
      </w:pPr>
    </w:p>
    <w:p w14:paraId="1BDC26E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《采购清单》</w:t>
      </w:r>
    </w:p>
    <w:p w14:paraId="447F3E5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p>
    <w:p w14:paraId="35BF849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p>
    <w:p w14:paraId="14EB65C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‌（以下无正文）‌</w:t>
      </w:r>
    </w:p>
    <w:p w14:paraId="698B467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p>
    <w:p w14:paraId="602A2FA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‌甲方（盖章）：</w:t>
      </w:r>
      <w:r>
        <w:rPr>
          <w:rFonts w:hint="eastAsia" w:ascii="宋体" w:hAnsi="宋体" w:eastAsia="宋体" w:cs="宋体"/>
          <w:color w:val="auto"/>
          <w:sz w:val="21"/>
          <w:szCs w:val="21"/>
          <w:highlight w:val="none"/>
          <w:u w:val="single"/>
          <w:lang w:val="en-US" w:eastAsia="zh-CN"/>
        </w:rPr>
        <w:t xml:space="preserve">                      </w:t>
      </w:r>
    </w:p>
    <w:p w14:paraId="05AFC6A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‌法定代表人/授权代表（签字）：</w:t>
      </w:r>
      <w:r>
        <w:rPr>
          <w:rFonts w:hint="eastAsia" w:ascii="宋体" w:hAnsi="宋体" w:eastAsia="宋体" w:cs="宋体"/>
          <w:color w:val="auto"/>
          <w:sz w:val="21"/>
          <w:szCs w:val="21"/>
          <w:highlight w:val="none"/>
          <w:u w:val="single"/>
          <w:lang w:val="en-US" w:eastAsia="zh-CN"/>
        </w:rPr>
        <w:t xml:space="preserve">       </w:t>
      </w:r>
    </w:p>
    <w:p w14:paraId="58CFEBA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日</w:t>
      </w:r>
    </w:p>
    <w:p w14:paraId="1F9751E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p>
    <w:p w14:paraId="7C371B7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‌乙方（盖章）：</w:t>
      </w:r>
      <w:r>
        <w:rPr>
          <w:rFonts w:hint="eastAsia" w:ascii="宋体" w:hAnsi="宋体" w:eastAsia="宋体" w:cs="宋体"/>
          <w:color w:val="auto"/>
          <w:sz w:val="21"/>
          <w:szCs w:val="21"/>
          <w:highlight w:val="none"/>
          <w:u w:val="single"/>
          <w:lang w:val="en-US" w:eastAsia="zh-CN"/>
        </w:rPr>
        <w:t xml:space="preserve">                      </w:t>
      </w:r>
    </w:p>
    <w:p w14:paraId="67EE788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‌法定代表人/授权代表（签字）：</w:t>
      </w:r>
      <w:r>
        <w:rPr>
          <w:rFonts w:hint="eastAsia" w:ascii="宋体" w:hAnsi="宋体" w:eastAsia="宋体" w:cs="宋体"/>
          <w:color w:val="auto"/>
          <w:sz w:val="21"/>
          <w:szCs w:val="21"/>
          <w:highlight w:val="none"/>
          <w:u w:val="single"/>
          <w:lang w:val="en-US" w:eastAsia="zh-CN"/>
        </w:rPr>
        <w:t xml:space="preserve">       </w:t>
      </w:r>
    </w:p>
    <w:p w14:paraId="663675E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日</w:t>
      </w:r>
    </w:p>
    <w:p w14:paraId="274BC140">
      <w:pPr>
        <w:pStyle w:val="634"/>
        <w:rPr>
          <w:rFonts w:hint="eastAsia" w:ascii="宋体" w:hAnsi="宋体" w:cs="宋体"/>
          <w:b/>
          <w:szCs w:val="21"/>
        </w:rPr>
      </w:pPr>
    </w:p>
    <w:p w14:paraId="62C47C3E">
      <w:pPr>
        <w:wordWrap w:val="0"/>
        <w:snapToGrid w:val="0"/>
        <w:spacing w:line="500" w:lineRule="exact"/>
        <w:jc w:val="center"/>
        <w:rPr>
          <w:rFonts w:hint="eastAsia" w:ascii="仿宋" w:hAnsi="仿宋" w:eastAsia="仿宋" w:cs="仿宋"/>
          <w:b/>
          <w:bCs/>
          <w:sz w:val="44"/>
        </w:rPr>
      </w:pPr>
    </w:p>
    <w:p w14:paraId="26DF30E4">
      <w:pPr>
        <w:wordWrap w:val="0"/>
        <w:snapToGrid w:val="0"/>
        <w:spacing w:line="500" w:lineRule="exact"/>
        <w:jc w:val="center"/>
        <w:rPr>
          <w:rFonts w:hint="eastAsia" w:ascii="仿宋" w:hAnsi="仿宋" w:eastAsia="仿宋" w:cs="仿宋"/>
          <w:b/>
          <w:bCs/>
          <w:sz w:val="44"/>
        </w:rPr>
        <w:sectPr>
          <w:headerReference r:id="rId19" w:type="first"/>
          <w:footerReference r:id="rId22" w:type="first"/>
          <w:headerReference r:id="rId17" w:type="default"/>
          <w:footerReference r:id="rId20" w:type="default"/>
          <w:headerReference r:id="rId18" w:type="even"/>
          <w:footerReference r:id="rId21" w:type="even"/>
          <w:pgSz w:w="11907" w:h="16840"/>
          <w:pgMar w:top="1134" w:right="1134" w:bottom="1134" w:left="1134" w:header="964" w:footer="992" w:gutter="0"/>
          <w:cols w:space="720" w:num="1"/>
          <w:titlePg/>
          <w:docGrid w:linePitch="312" w:charSpace="0"/>
        </w:sectPr>
      </w:pPr>
    </w:p>
    <w:p w14:paraId="5B63508D">
      <w:pPr>
        <w:wordWrap w:val="0"/>
        <w:snapToGrid w:val="0"/>
        <w:spacing w:line="500" w:lineRule="exact"/>
        <w:jc w:val="left"/>
        <w:rPr>
          <w:rFonts w:hint="eastAsia" w:ascii="宋体" w:hAnsi="宋体" w:cs="宋体"/>
          <w:b/>
          <w:bCs/>
          <w:szCs w:val="21"/>
        </w:rPr>
      </w:pPr>
      <w:r>
        <w:rPr>
          <w:rFonts w:hint="eastAsia" w:ascii="宋体" w:hAnsi="宋体" w:cs="宋体"/>
          <w:b/>
          <w:bCs/>
          <w:szCs w:val="21"/>
        </w:rPr>
        <w:t>附件：《采购清单》</w:t>
      </w:r>
    </w:p>
    <w:tbl>
      <w:tblPr>
        <w:tblStyle w:val="75"/>
        <w:tblW w:w="14542" w:type="dxa"/>
        <w:jc w:val="center"/>
        <w:tblLayout w:type="fixed"/>
        <w:tblCellMar>
          <w:top w:w="0" w:type="dxa"/>
          <w:left w:w="108" w:type="dxa"/>
          <w:bottom w:w="0" w:type="dxa"/>
          <w:right w:w="108" w:type="dxa"/>
        </w:tblCellMar>
      </w:tblPr>
      <w:tblGrid>
        <w:gridCol w:w="647"/>
        <w:gridCol w:w="1549"/>
        <w:gridCol w:w="6480"/>
        <w:gridCol w:w="731"/>
        <w:gridCol w:w="774"/>
        <w:gridCol w:w="1357"/>
        <w:gridCol w:w="1241"/>
        <w:gridCol w:w="1763"/>
      </w:tblGrid>
      <w:tr w14:paraId="5C70C0EE">
        <w:tblPrEx>
          <w:tblCellMar>
            <w:top w:w="0" w:type="dxa"/>
            <w:left w:w="108" w:type="dxa"/>
            <w:bottom w:w="0" w:type="dxa"/>
            <w:right w:w="108" w:type="dxa"/>
          </w:tblCellMar>
        </w:tblPrEx>
        <w:trPr>
          <w:trHeight w:val="696" w:hRule="atLeast"/>
          <w:jc w:val="center"/>
        </w:trPr>
        <w:tc>
          <w:tcPr>
            <w:tcW w:w="14542" w:type="dxa"/>
            <w:gridSpan w:val="8"/>
            <w:tcBorders>
              <w:top w:val="single" w:color="000000" w:sz="4" w:space="0"/>
              <w:left w:val="single" w:color="000000" w:sz="4" w:space="0"/>
              <w:bottom w:val="single" w:color="000000" w:sz="4" w:space="0"/>
              <w:right w:val="single" w:color="000000" w:sz="4" w:space="0"/>
            </w:tcBorders>
            <w:noWrap/>
            <w:vAlign w:val="center"/>
          </w:tcPr>
          <w:p w14:paraId="325FD085">
            <w:pPr>
              <w:jc w:val="center"/>
              <w:textAlignment w:val="center"/>
              <w:rPr>
                <w:rFonts w:hint="eastAsia" w:ascii="宋体" w:hAnsi="宋体" w:eastAsia="宋体" w:cs="宋体"/>
                <w:b/>
                <w:bCs/>
                <w:color w:val="auto"/>
                <w:sz w:val="21"/>
                <w:szCs w:val="21"/>
                <w:highlight w:val="none"/>
                <w:lang w:val="en-US" w:eastAsia="zh-CN" w:bidi="ar"/>
              </w:rPr>
            </w:pPr>
            <w:r>
              <w:rPr>
                <w:rFonts w:hint="eastAsia" w:ascii="宋体" w:hAnsi="宋体" w:eastAsia="宋体" w:cs="宋体"/>
                <w:b/>
                <w:bCs/>
                <w:color w:val="auto"/>
                <w:sz w:val="21"/>
                <w:szCs w:val="21"/>
                <w:highlight w:val="none"/>
                <w:lang w:val="en-US" w:eastAsia="zh-CN" w:bidi="ar"/>
              </w:rPr>
              <w:t>一、大数据学院数字媒体技术专业2503实训室改建</w:t>
            </w:r>
          </w:p>
        </w:tc>
      </w:tr>
      <w:tr w14:paraId="31635AE3">
        <w:tblPrEx>
          <w:tblCellMar>
            <w:top w:w="0" w:type="dxa"/>
            <w:left w:w="108" w:type="dxa"/>
            <w:bottom w:w="0" w:type="dxa"/>
            <w:right w:w="108" w:type="dxa"/>
          </w:tblCellMar>
        </w:tblPrEx>
        <w:trPr>
          <w:trHeight w:val="838" w:hRule="atLeast"/>
          <w:jc w:val="center"/>
        </w:trPr>
        <w:tc>
          <w:tcPr>
            <w:tcW w:w="647" w:type="dxa"/>
            <w:tcBorders>
              <w:top w:val="single" w:color="000000" w:sz="4" w:space="0"/>
              <w:left w:val="single" w:color="000000" w:sz="4" w:space="0"/>
              <w:bottom w:val="single" w:color="000000" w:sz="4" w:space="0"/>
              <w:right w:val="single" w:color="000000" w:sz="4" w:space="0"/>
            </w:tcBorders>
            <w:noWrap/>
            <w:vAlign w:val="center"/>
          </w:tcPr>
          <w:p w14:paraId="7C44E42C">
            <w:pPr>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bidi="ar"/>
              </w:rPr>
              <w:t>序号</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08CB50D0">
            <w:pPr>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bidi="ar"/>
              </w:rPr>
              <w:t>产品名称</w:t>
            </w:r>
          </w:p>
        </w:tc>
        <w:tc>
          <w:tcPr>
            <w:tcW w:w="6480" w:type="dxa"/>
            <w:tcBorders>
              <w:top w:val="single" w:color="000000" w:sz="4" w:space="0"/>
              <w:left w:val="single" w:color="000000" w:sz="4" w:space="0"/>
              <w:bottom w:val="single" w:color="000000" w:sz="4" w:space="0"/>
              <w:right w:val="single" w:color="000000" w:sz="4" w:space="0"/>
            </w:tcBorders>
            <w:noWrap w:val="0"/>
            <w:vAlign w:val="center"/>
          </w:tcPr>
          <w:p w14:paraId="6D4AF0F0">
            <w:pPr>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bidi="ar"/>
              </w:rPr>
              <w:t>参数</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4C0B51E7">
            <w:pPr>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bidi="ar"/>
              </w:rPr>
              <w:t>数量</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5E656DE6">
            <w:pPr>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bidi="ar"/>
              </w:rPr>
              <w:t>单位</w:t>
            </w:r>
          </w:p>
        </w:tc>
        <w:tc>
          <w:tcPr>
            <w:tcW w:w="1357" w:type="dxa"/>
            <w:tcBorders>
              <w:top w:val="single" w:color="000000" w:sz="4" w:space="0"/>
              <w:left w:val="single" w:color="000000" w:sz="4" w:space="0"/>
              <w:bottom w:val="single" w:color="000000" w:sz="4" w:space="0"/>
              <w:right w:val="single" w:color="auto" w:sz="4" w:space="0"/>
            </w:tcBorders>
            <w:noWrap w:val="0"/>
            <w:vAlign w:val="center"/>
          </w:tcPr>
          <w:p w14:paraId="55E9E7F1">
            <w:pPr>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单价（元）</w:t>
            </w:r>
          </w:p>
        </w:tc>
        <w:tc>
          <w:tcPr>
            <w:tcW w:w="1241" w:type="dxa"/>
            <w:tcBorders>
              <w:top w:val="single" w:color="000000" w:sz="4" w:space="0"/>
              <w:left w:val="single" w:color="auto" w:sz="4" w:space="0"/>
              <w:bottom w:val="single" w:color="000000" w:sz="4" w:space="0"/>
              <w:right w:val="single" w:color="auto" w:sz="4" w:space="0"/>
            </w:tcBorders>
            <w:noWrap w:val="0"/>
            <w:vAlign w:val="center"/>
          </w:tcPr>
          <w:p w14:paraId="18C9FCE9">
            <w:pPr>
              <w:jc w:val="center"/>
              <w:textAlignment w:val="center"/>
              <w:rPr>
                <w:rFonts w:hint="eastAsia" w:ascii="宋体" w:hAnsi="宋体" w:eastAsia="宋体" w:cs="宋体"/>
                <w:b/>
                <w:bCs/>
                <w:color w:val="auto"/>
                <w:sz w:val="21"/>
                <w:szCs w:val="21"/>
                <w:highlight w:val="none"/>
                <w:lang w:val="en-US" w:eastAsia="zh-CN" w:bidi="ar"/>
              </w:rPr>
            </w:pPr>
            <w:r>
              <w:rPr>
                <w:rFonts w:hint="eastAsia" w:ascii="宋体" w:hAnsi="宋体" w:eastAsia="宋体" w:cs="宋体"/>
                <w:b/>
                <w:bCs/>
                <w:color w:val="auto"/>
                <w:sz w:val="21"/>
                <w:szCs w:val="21"/>
                <w:highlight w:val="none"/>
                <w:lang w:val="en-US" w:eastAsia="zh-CN" w:bidi="ar"/>
              </w:rPr>
              <w:t>合计（元）</w:t>
            </w:r>
          </w:p>
        </w:tc>
        <w:tc>
          <w:tcPr>
            <w:tcW w:w="1763" w:type="dxa"/>
            <w:tcBorders>
              <w:top w:val="single" w:color="000000" w:sz="4" w:space="0"/>
              <w:left w:val="single" w:color="auto" w:sz="4" w:space="0"/>
              <w:bottom w:val="single" w:color="000000" w:sz="4" w:space="0"/>
              <w:right w:val="single" w:color="000000" w:sz="4" w:space="0"/>
            </w:tcBorders>
            <w:noWrap w:val="0"/>
            <w:vAlign w:val="center"/>
          </w:tcPr>
          <w:p w14:paraId="54544095">
            <w:pPr>
              <w:jc w:val="center"/>
              <w:textAlignment w:val="center"/>
              <w:rPr>
                <w:rFonts w:hint="eastAsia" w:ascii="宋体" w:hAnsi="宋体" w:eastAsia="宋体" w:cs="宋体"/>
                <w:b/>
                <w:bCs/>
                <w:color w:val="auto"/>
                <w:sz w:val="21"/>
                <w:szCs w:val="21"/>
                <w:highlight w:val="none"/>
                <w:lang w:bidi="ar"/>
              </w:rPr>
            </w:pPr>
            <w:r>
              <w:rPr>
                <w:rFonts w:hint="eastAsia" w:ascii="宋体" w:hAnsi="宋体" w:eastAsia="宋体" w:cs="宋体"/>
                <w:b/>
                <w:bCs/>
                <w:color w:val="auto"/>
                <w:sz w:val="21"/>
                <w:szCs w:val="21"/>
                <w:highlight w:val="none"/>
                <w:lang w:bidi="ar"/>
              </w:rPr>
              <w:t>备注</w:t>
            </w:r>
          </w:p>
        </w:tc>
      </w:tr>
      <w:tr w14:paraId="1379B81D">
        <w:tblPrEx>
          <w:tblCellMar>
            <w:top w:w="0" w:type="dxa"/>
            <w:left w:w="108" w:type="dxa"/>
            <w:bottom w:w="0" w:type="dxa"/>
            <w:right w:w="108" w:type="dxa"/>
          </w:tblCellMar>
        </w:tblPrEx>
        <w:trPr>
          <w:trHeight w:val="522" w:hRule="atLeast"/>
          <w:jc w:val="center"/>
        </w:trPr>
        <w:tc>
          <w:tcPr>
            <w:tcW w:w="14542" w:type="dxa"/>
            <w:gridSpan w:val="8"/>
            <w:tcBorders>
              <w:top w:val="single" w:color="000000" w:sz="4" w:space="0"/>
              <w:left w:val="single" w:color="000000" w:sz="4" w:space="0"/>
              <w:bottom w:val="single" w:color="000000" w:sz="4" w:space="0"/>
              <w:right w:val="single" w:color="000000" w:sz="4" w:space="0"/>
            </w:tcBorders>
            <w:noWrap/>
            <w:vAlign w:val="center"/>
          </w:tcPr>
          <w:p w14:paraId="2065B580">
            <w:pPr>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bidi="ar"/>
              </w:rPr>
              <w:t>（</w:t>
            </w:r>
            <w:r>
              <w:rPr>
                <w:rFonts w:hint="eastAsia" w:ascii="宋体" w:hAnsi="宋体" w:eastAsia="宋体" w:cs="宋体"/>
                <w:b/>
                <w:bCs/>
                <w:color w:val="auto"/>
                <w:sz w:val="21"/>
                <w:szCs w:val="21"/>
                <w:highlight w:val="none"/>
                <w:lang w:val="en-US" w:eastAsia="zh-CN" w:bidi="ar"/>
              </w:rPr>
              <w:t>一</w:t>
            </w:r>
            <w:r>
              <w:rPr>
                <w:rFonts w:hint="eastAsia" w:ascii="宋体" w:hAnsi="宋体" w:eastAsia="宋体" w:cs="宋体"/>
                <w:b/>
                <w:bCs/>
                <w:color w:val="auto"/>
                <w:sz w:val="21"/>
                <w:szCs w:val="21"/>
                <w:highlight w:val="none"/>
                <w:lang w:eastAsia="zh-CN" w:bidi="ar"/>
              </w:rPr>
              <w:t>）</w:t>
            </w:r>
            <w:r>
              <w:rPr>
                <w:rFonts w:hint="eastAsia" w:ascii="宋体" w:hAnsi="宋体" w:eastAsia="宋体" w:cs="宋体"/>
                <w:b/>
                <w:bCs/>
                <w:color w:val="auto"/>
                <w:sz w:val="21"/>
                <w:szCs w:val="21"/>
                <w:highlight w:val="none"/>
                <w:lang w:bidi="ar"/>
              </w:rPr>
              <w:t>专业资源制作实训室设备清单</w:t>
            </w:r>
          </w:p>
        </w:tc>
      </w:tr>
      <w:tr w14:paraId="0FCFF442">
        <w:tblPrEx>
          <w:tblCellMar>
            <w:top w:w="0" w:type="dxa"/>
            <w:left w:w="108" w:type="dxa"/>
            <w:bottom w:w="0" w:type="dxa"/>
            <w:right w:w="108" w:type="dxa"/>
          </w:tblCellMar>
        </w:tblPrEx>
        <w:trPr>
          <w:trHeight w:val="598" w:hRule="atLeast"/>
          <w:jc w:val="center"/>
        </w:trPr>
        <w:tc>
          <w:tcPr>
            <w:tcW w:w="647" w:type="dxa"/>
            <w:vMerge w:val="restart"/>
            <w:tcBorders>
              <w:top w:val="single" w:color="000000" w:sz="4" w:space="0"/>
              <w:left w:val="single" w:color="000000" w:sz="4" w:space="0"/>
              <w:right w:val="single" w:color="000000" w:sz="4" w:space="0"/>
            </w:tcBorders>
            <w:noWrap/>
            <w:vAlign w:val="center"/>
          </w:tcPr>
          <w:p w14:paraId="48E71F39">
            <w:pP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18"/>
                <w:szCs w:val="18"/>
                <w:highlight w:val="none"/>
                <w:lang w:bidi="ar"/>
              </w:rPr>
              <w:t>1</w:t>
            </w:r>
          </w:p>
        </w:tc>
        <w:tc>
          <w:tcPr>
            <w:tcW w:w="1549" w:type="dxa"/>
            <w:vMerge w:val="restart"/>
            <w:tcBorders>
              <w:top w:val="single" w:color="000000" w:sz="4" w:space="0"/>
              <w:left w:val="single" w:color="000000" w:sz="4" w:space="0"/>
              <w:right w:val="single" w:color="000000" w:sz="4" w:space="0"/>
            </w:tcBorders>
            <w:noWrap/>
            <w:vAlign w:val="center"/>
          </w:tcPr>
          <w:p w14:paraId="4395420D">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台式电脑</w:t>
            </w:r>
          </w:p>
        </w:tc>
        <w:tc>
          <w:tcPr>
            <w:tcW w:w="6480" w:type="dxa"/>
            <w:tcBorders>
              <w:top w:val="single" w:color="000000" w:sz="4" w:space="0"/>
              <w:left w:val="single" w:color="000000" w:sz="4" w:space="0"/>
              <w:right w:val="single" w:color="000000" w:sz="4" w:space="0"/>
            </w:tcBorders>
            <w:noWrap w:val="0"/>
            <w:vAlign w:val="center"/>
          </w:tcPr>
          <w:p w14:paraId="489933C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1、</w:t>
            </w:r>
            <w:r>
              <w:rPr>
                <w:rFonts w:hint="eastAsia" w:ascii="宋体" w:hAnsi="宋体" w:eastAsia="宋体" w:cs="宋体"/>
                <w:color w:val="auto"/>
                <w:sz w:val="18"/>
                <w:szCs w:val="18"/>
                <w:highlight w:val="none"/>
                <w:lang w:val="en-US" w:eastAsia="zh-CN"/>
              </w:rPr>
              <w:t>CPU Intel 酷睿i5十二代或以上，主频≥2.5GHz或以上，六核十二线程，三级缓存≥18MB；</w:t>
            </w:r>
          </w:p>
        </w:tc>
        <w:tc>
          <w:tcPr>
            <w:tcW w:w="731" w:type="dxa"/>
            <w:vMerge w:val="restart"/>
            <w:tcBorders>
              <w:top w:val="single" w:color="000000" w:sz="4" w:space="0"/>
              <w:left w:val="single" w:color="000000" w:sz="4" w:space="0"/>
              <w:right w:val="single" w:color="000000" w:sz="4" w:space="0"/>
            </w:tcBorders>
            <w:noWrap/>
            <w:vAlign w:val="center"/>
          </w:tcPr>
          <w:p w14:paraId="46EBDFC7">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39</w:t>
            </w:r>
          </w:p>
        </w:tc>
        <w:tc>
          <w:tcPr>
            <w:tcW w:w="774" w:type="dxa"/>
            <w:vMerge w:val="restart"/>
            <w:tcBorders>
              <w:top w:val="single" w:color="000000" w:sz="4" w:space="0"/>
              <w:left w:val="single" w:color="000000" w:sz="4" w:space="0"/>
              <w:right w:val="single" w:color="000000" w:sz="4" w:space="0"/>
            </w:tcBorders>
            <w:noWrap/>
            <w:vAlign w:val="center"/>
          </w:tcPr>
          <w:p w14:paraId="6AACB9FF">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台</w:t>
            </w:r>
          </w:p>
        </w:tc>
        <w:tc>
          <w:tcPr>
            <w:tcW w:w="1357" w:type="dxa"/>
            <w:tcBorders>
              <w:top w:val="single" w:color="000000" w:sz="4" w:space="0"/>
              <w:left w:val="single" w:color="000000" w:sz="4" w:space="0"/>
              <w:bottom w:val="single" w:color="auto" w:sz="4" w:space="0"/>
              <w:right w:val="single" w:color="auto" w:sz="4" w:space="0"/>
            </w:tcBorders>
            <w:noWrap w:val="0"/>
            <w:vAlign w:val="center"/>
          </w:tcPr>
          <w:p w14:paraId="53A7FBF0">
            <w:pPr>
              <w:rPr>
                <w:rFonts w:hint="eastAsia" w:ascii="宋体" w:hAnsi="宋体" w:eastAsia="宋体" w:cs="宋体"/>
                <w:color w:val="auto"/>
                <w:sz w:val="22"/>
                <w:szCs w:val="22"/>
                <w:highlight w:val="none"/>
              </w:rPr>
            </w:pPr>
          </w:p>
        </w:tc>
        <w:tc>
          <w:tcPr>
            <w:tcW w:w="1241" w:type="dxa"/>
            <w:vMerge w:val="restart"/>
            <w:tcBorders>
              <w:top w:val="single" w:color="000000" w:sz="4" w:space="0"/>
              <w:left w:val="single" w:color="auto" w:sz="4" w:space="0"/>
              <w:right w:val="single" w:color="auto" w:sz="4" w:space="0"/>
            </w:tcBorders>
            <w:noWrap w:val="0"/>
            <w:vAlign w:val="center"/>
          </w:tcPr>
          <w:p w14:paraId="7831E5E4">
            <w:pPr>
              <w:rPr>
                <w:rFonts w:hint="eastAsia" w:ascii="宋体" w:hAnsi="宋体" w:eastAsia="宋体" w:cs="宋体"/>
                <w:color w:val="auto"/>
                <w:sz w:val="22"/>
                <w:szCs w:val="22"/>
                <w:highlight w:val="none"/>
              </w:rPr>
            </w:pPr>
          </w:p>
        </w:tc>
        <w:tc>
          <w:tcPr>
            <w:tcW w:w="1763" w:type="dxa"/>
            <w:vMerge w:val="restart"/>
            <w:tcBorders>
              <w:top w:val="single" w:color="000000" w:sz="4" w:space="0"/>
              <w:left w:val="single" w:color="auto" w:sz="4" w:space="0"/>
              <w:right w:val="single" w:color="000000" w:sz="4" w:space="0"/>
            </w:tcBorders>
            <w:noWrap w:val="0"/>
            <w:vAlign w:val="center"/>
          </w:tcPr>
          <w:p w14:paraId="29213C2B">
            <w:pPr>
              <w:rPr>
                <w:rFonts w:hint="eastAsia" w:ascii="宋体" w:hAnsi="宋体" w:eastAsia="宋体" w:cs="宋体"/>
                <w:color w:val="auto"/>
                <w:sz w:val="22"/>
                <w:szCs w:val="22"/>
                <w:highlight w:val="none"/>
              </w:rPr>
            </w:pPr>
          </w:p>
        </w:tc>
      </w:tr>
      <w:tr w14:paraId="4B4EC6C9">
        <w:tblPrEx>
          <w:tblCellMar>
            <w:top w:w="0" w:type="dxa"/>
            <w:left w:w="108" w:type="dxa"/>
            <w:bottom w:w="0" w:type="dxa"/>
            <w:right w:w="108" w:type="dxa"/>
          </w:tblCellMar>
        </w:tblPrEx>
        <w:trPr>
          <w:trHeight w:val="659" w:hRule="atLeast"/>
          <w:jc w:val="center"/>
        </w:trPr>
        <w:tc>
          <w:tcPr>
            <w:tcW w:w="647" w:type="dxa"/>
            <w:vMerge w:val="continue"/>
            <w:tcBorders>
              <w:left w:val="single" w:color="000000" w:sz="4" w:space="0"/>
              <w:right w:val="single" w:color="000000" w:sz="4" w:space="0"/>
            </w:tcBorders>
            <w:noWrap/>
            <w:vAlign w:val="center"/>
          </w:tcPr>
          <w:p w14:paraId="26BCD61A">
            <w:pPr>
              <w:jc w:val="center"/>
              <w:textAlignment w:val="center"/>
              <w:rPr>
                <w:rFonts w:hint="eastAsia" w:ascii="宋体" w:hAnsi="宋体" w:eastAsia="宋体" w:cs="宋体"/>
                <w:color w:val="auto"/>
                <w:sz w:val="18"/>
                <w:szCs w:val="18"/>
                <w:highlight w:val="none"/>
                <w:lang w:bidi="ar"/>
              </w:rPr>
            </w:pPr>
          </w:p>
        </w:tc>
        <w:tc>
          <w:tcPr>
            <w:tcW w:w="1549" w:type="dxa"/>
            <w:vMerge w:val="continue"/>
            <w:tcBorders>
              <w:left w:val="single" w:color="000000" w:sz="4" w:space="0"/>
              <w:right w:val="single" w:color="000000" w:sz="4" w:space="0"/>
            </w:tcBorders>
            <w:noWrap/>
            <w:vAlign w:val="center"/>
          </w:tcPr>
          <w:p w14:paraId="01C9FEE5">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6480" w:type="dxa"/>
            <w:tcBorders>
              <w:top w:val="single" w:color="auto" w:sz="4" w:space="0"/>
              <w:left w:val="single" w:color="000000" w:sz="4" w:space="0"/>
              <w:right w:val="single" w:color="000000" w:sz="4" w:space="0"/>
            </w:tcBorders>
            <w:noWrap w:val="0"/>
            <w:vAlign w:val="center"/>
          </w:tcPr>
          <w:p w14:paraId="6E7B96D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2、主板 ≥Intel B660M芯片组， MATX 主板，插槽2*PCI-E 1X，1*PCI-E 16X ，2*M.2， 1*COM插针；</w:t>
            </w:r>
          </w:p>
        </w:tc>
        <w:tc>
          <w:tcPr>
            <w:tcW w:w="731" w:type="dxa"/>
            <w:vMerge w:val="continue"/>
            <w:tcBorders>
              <w:left w:val="single" w:color="000000" w:sz="4" w:space="0"/>
              <w:right w:val="single" w:color="000000" w:sz="4" w:space="0"/>
            </w:tcBorders>
            <w:noWrap/>
            <w:vAlign w:val="center"/>
          </w:tcPr>
          <w:p w14:paraId="63BBC348">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774" w:type="dxa"/>
            <w:vMerge w:val="continue"/>
            <w:tcBorders>
              <w:left w:val="single" w:color="000000" w:sz="4" w:space="0"/>
              <w:right w:val="single" w:color="000000" w:sz="4" w:space="0"/>
            </w:tcBorders>
            <w:noWrap/>
            <w:vAlign w:val="center"/>
          </w:tcPr>
          <w:p w14:paraId="35695696">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1357" w:type="dxa"/>
            <w:tcBorders>
              <w:top w:val="single" w:color="auto" w:sz="4" w:space="0"/>
              <w:left w:val="single" w:color="000000" w:sz="4" w:space="0"/>
              <w:bottom w:val="single" w:color="auto" w:sz="4" w:space="0"/>
              <w:right w:val="single" w:color="auto" w:sz="4" w:space="0"/>
            </w:tcBorders>
            <w:noWrap w:val="0"/>
            <w:vAlign w:val="center"/>
          </w:tcPr>
          <w:p w14:paraId="7D21DCA0">
            <w:pPr>
              <w:rPr>
                <w:rFonts w:hint="eastAsia" w:ascii="宋体" w:hAnsi="宋体" w:eastAsia="宋体" w:cs="宋体"/>
                <w:color w:val="auto"/>
                <w:sz w:val="22"/>
                <w:szCs w:val="22"/>
                <w:highlight w:val="none"/>
              </w:rPr>
            </w:pPr>
          </w:p>
        </w:tc>
        <w:tc>
          <w:tcPr>
            <w:tcW w:w="1241" w:type="dxa"/>
            <w:vMerge w:val="continue"/>
            <w:tcBorders>
              <w:left w:val="single" w:color="auto" w:sz="4" w:space="0"/>
              <w:right w:val="single" w:color="auto" w:sz="4" w:space="0"/>
            </w:tcBorders>
            <w:noWrap w:val="0"/>
            <w:vAlign w:val="center"/>
          </w:tcPr>
          <w:p w14:paraId="5AD8F201">
            <w:pPr>
              <w:rPr>
                <w:rFonts w:hint="eastAsia" w:ascii="宋体" w:hAnsi="宋体" w:eastAsia="宋体" w:cs="宋体"/>
                <w:color w:val="auto"/>
                <w:sz w:val="22"/>
                <w:szCs w:val="22"/>
                <w:highlight w:val="none"/>
              </w:rPr>
            </w:pPr>
          </w:p>
        </w:tc>
        <w:tc>
          <w:tcPr>
            <w:tcW w:w="1763" w:type="dxa"/>
            <w:vMerge w:val="continue"/>
            <w:tcBorders>
              <w:left w:val="single" w:color="auto" w:sz="4" w:space="0"/>
              <w:right w:val="single" w:color="000000" w:sz="4" w:space="0"/>
            </w:tcBorders>
            <w:noWrap w:val="0"/>
            <w:vAlign w:val="center"/>
          </w:tcPr>
          <w:p w14:paraId="6236B2E4">
            <w:pPr>
              <w:rPr>
                <w:rFonts w:hint="eastAsia" w:ascii="宋体" w:hAnsi="宋体" w:eastAsia="宋体" w:cs="宋体"/>
                <w:color w:val="auto"/>
                <w:sz w:val="22"/>
                <w:szCs w:val="22"/>
                <w:highlight w:val="none"/>
              </w:rPr>
            </w:pPr>
          </w:p>
        </w:tc>
      </w:tr>
      <w:tr w14:paraId="48936779">
        <w:tblPrEx>
          <w:tblCellMar>
            <w:top w:w="0" w:type="dxa"/>
            <w:left w:w="108" w:type="dxa"/>
            <w:bottom w:w="0" w:type="dxa"/>
            <w:right w:w="108" w:type="dxa"/>
          </w:tblCellMar>
        </w:tblPrEx>
        <w:trPr>
          <w:trHeight w:val="312" w:hRule="atLeast"/>
          <w:jc w:val="center"/>
        </w:trPr>
        <w:tc>
          <w:tcPr>
            <w:tcW w:w="647" w:type="dxa"/>
            <w:vMerge w:val="continue"/>
            <w:tcBorders>
              <w:left w:val="single" w:color="000000" w:sz="4" w:space="0"/>
              <w:right w:val="single" w:color="000000" w:sz="4" w:space="0"/>
            </w:tcBorders>
            <w:noWrap/>
            <w:vAlign w:val="center"/>
          </w:tcPr>
          <w:p w14:paraId="36DB7CD6">
            <w:pPr>
              <w:jc w:val="center"/>
              <w:textAlignment w:val="center"/>
              <w:rPr>
                <w:rFonts w:hint="eastAsia" w:ascii="宋体" w:hAnsi="宋体" w:eastAsia="宋体" w:cs="宋体"/>
                <w:color w:val="auto"/>
                <w:sz w:val="18"/>
                <w:szCs w:val="18"/>
                <w:highlight w:val="none"/>
                <w:lang w:bidi="ar"/>
              </w:rPr>
            </w:pPr>
          </w:p>
        </w:tc>
        <w:tc>
          <w:tcPr>
            <w:tcW w:w="1549" w:type="dxa"/>
            <w:vMerge w:val="continue"/>
            <w:tcBorders>
              <w:left w:val="single" w:color="000000" w:sz="4" w:space="0"/>
              <w:right w:val="single" w:color="000000" w:sz="4" w:space="0"/>
            </w:tcBorders>
            <w:noWrap/>
            <w:vAlign w:val="center"/>
          </w:tcPr>
          <w:p w14:paraId="3EA2736D">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6480" w:type="dxa"/>
            <w:tcBorders>
              <w:top w:val="single" w:color="auto" w:sz="4" w:space="0"/>
              <w:left w:val="single" w:color="000000" w:sz="4" w:space="0"/>
              <w:right w:val="single" w:color="000000" w:sz="4" w:space="0"/>
            </w:tcBorders>
            <w:noWrap w:val="0"/>
            <w:vAlign w:val="center"/>
          </w:tcPr>
          <w:p w14:paraId="380FC60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3、内存 ≥32GB DDR4 3200，内存插槽数≥2，最大支持64GB；</w:t>
            </w:r>
          </w:p>
        </w:tc>
        <w:tc>
          <w:tcPr>
            <w:tcW w:w="731" w:type="dxa"/>
            <w:vMerge w:val="continue"/>
            <w:tcBorders>
              <w:left w:val="single" w:color="000000" w:sz="4" w:space="0"/>
              <w:right w:val="single" w:color="000000" w:sz="4" w:space="0"/>
            </w:tcBorders>
            <w:noWrap/>
            <w:vAlign w:val="center"/>
          </w:tcPr>
          <w:p w14:paraId="452B7B8F">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774" w:type="dxa"/>
            <w:vMerge w:val="continue"/>
            <w:tcBorders>
              <w:left w:val="single" w:color="000000" w:sz="4" w:space="0"/>
              <w:right w:val="single" w:color="000000" w:sz="4" w:space="0"/>
            </w:tcBorders>
            <w:noWrap/>
            <w:vAlign w:val="center"/>
          </w:tcPr>
          <w:p w14:paraId="37AF9AAC">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1357" w:type="dxa"/>
            <w:tcBorders>
              <w:top w:val="single" w:color="auto" w:sz="4" w:space="0"/>
              <w:left w:val="single" w:color="000000" w:sz="4" w:space="0"/>
              <w:bottom w:val="single" w:color="auto" w:sz="4" w:space="0"/>
              <w:right w:val="single" w:color="auto" w:sz="4" w:space="0"/>
            </w:tcBorders>
            <w:noWrap w:val="0"/>
            <w:vAlign w:val="center"/>
          </w:tcPr>
          <w:p w14:paraId="1431EF10">
            <w:pPr>
              <w:rPr>
                <w:rFonts w:hint="eastAsia" w:ascii="宋体" w:hAnsi="宋体" w:eastAsia="宋体" w:cs="宋体"/>
                <w:color w:val="auto"/>
                <w:sz w:val="22"/>
                <w:szCs w:val="22"/>
                <w:highlight w:val="none"/>
              </w:rPr>
            </w:pPr>
          </w:p>
        </w:tc>
        <w:tc>
          <w:tcPr>
            <w:tcW w:w="1241" w:type="dxa"/>
            <w:vMerge w:val="continue"/>
            <w:tcBorders>
              <w:left w:val="single" w:color="auto" w:sz="4" w:space="0"/>
              <w:right w:val="single" w:color="auto" w:sz="4" w:space="0"/>
            </w:tcBorders>
            <w:noWrap w:val="0"/>
            <w:vAlign w:val="center"/>
          </w:tcPr>
          <w:p w14:paraId="0899EDD4">
            <w:pPr>
              <w:rPr>
                <w:rFonts w:hint="eastAsia" w:ascii="宋体" w:hAnsi="宋体" w:eastAsia="宋体" w:cs="宋体"/>
                <w:color w:val="auto"/>
                <w:sz w:val="22"/>
                <w:szCs w:val="22"/>
                <w:highlight w:val="none"/>
              </w:rPr>
            </w:pPr>
          </w:p>
        </w:tc>
        <w:tc>
          <w:tcPr>
            <w:tcW w:w="1763" w:type="dxa"/>
            <w:vMerge w:val="continue"/>
            <w:tcBorders>
              <w:left w:val="single" w:color="auto" w:sz="4" w:space="0"/>
              <w:right w:val="single" w:color="000000" w:sz="4" w:space="0"/>
            </w:tcBorders>
            <w:noWrap w:val="0"/>
            <w:vAlign w:val="center"/>
          </w:tcPr>
          <w:p w14:paraId="6A9B2860">
            <w:pPr>
              <w:rPr>
                <w:rFonts w:hint="eastAsia" w:ascii="宋体" w:hAnsi="宋体" w:eastAsia="宋体" w:cs="宋体"/>
                <w:color w:val="auto"/>
                <w:sz w:val="22"/>
                <w:szCs w:val="22"/>
                <w:highlight w:val="none"/>
              </w:rPr>
            </w:pPr>
          </w:p>
        </w:tc>
      </w:tr>
      <w:tr w14:paraId="222EEB2F">
        <w:tblPrEx>
          <w:tblCellMar>
            <w:top w:w="0" w:type="dxa"/>
            <w:left w:w="108" w:type="dxa"/>
            <w:bottom w:w="0" w:type="dxa"/>
            <w:right w:w="108" w:type="dxa"/>
          </w:tblCellMar>
        </w:tblPrEx>
        <w:trPr>
          <w:trHeight w:val="312" w:hRule="atLeast"/>
          <w:jc w:val="center"/>
        </w:trPr>
        <w:tc>
          <w:tcPr>
            <w:tcW w:w="647" w:type="dxa"/>
            <w:vMerge w:val="continue"/>
            <w:tcBorders>
              <w:left w:val="single" w:color="000000" w:sz="4" w:space="0"/>
              <w:right w:val="single" w:color="000000" w:sz="4" w:space="0"/>
            </w:tcBorders>
            <w:noWrap/>
            <w:vAlign w:val="center"/>
          </w:tcPr>
          <w:p w14:paraId="5DA5B5CA">
            <w:pPr>
              <w:jc w:val="center"/>
              <w:textAlignment w:val="center"/>
              <w:rPr>
                <w:rFonts w:hint="eastAsia" w:ascii="宋体" w:hAnsi="宋体" w:eastAsia="宋体" w:cs="宋体"/>
                <w:color w:val="auto"/>
                <w:sz w:val="18"/>
                <w:szCs w:val="18"/>
                <w:highlight w:val="none"/>
                <w:lang w:bidi="ar"/>
              </w:rPr>
            </w:pPr>
          </w:p>
        </w:tc>
        <w:tc>
          <w:tcPr>
            <w:tcW w:w="1549" w:type="dxa"/>
            <w:vMerge w:val="continue"/>
            <w:tcBorders>
              <w:left w:val="single" w:color="000000" w:sz="4" w:space="0"/>
              <w:right w:val="single" w:color="000000" w:sz="4" w:space="0"/>
            </w:tcBorders>
            <w:noWrap/>
            <w:vAlign w:val="center"/>
          </w:tcPr>
          <w:p w14:paraId="74BFEA8D">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6480" w:type="dxa"/>
            <w:tcBorders>
              <w:top w:val="single" w:color="auto" w:sz="4" w:space="0"/>
              <w:left w:val="single" w:color="000000" w:sz="4" w:space="0"/>
              <w:right w:val="single" w:color="000000" w:sz="4" w:space="0"/>
            </w:tcBorders>
            <w:noWrap w:val="0"/>
            <w:vAlign w:val="center"/>
          </w:tcPr>
          <w:p w14:paraId="6080B92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4、硬盘 ≥512G SSD NVME；</w:t>
            </w:r>
          </w:p>
        </w:tc>
        <w:tc>
          <w:tcPr>
            <w:tcW w:w="731" w:type="dxa"/>
            <w:vMerge w:val="continue"/>
            <w:tcBorders>
              <w:left w:val="single" w:color="000000" w:sz="4" w:space="0"/>
              <w:right w:val="single" w:color="000000" w:sz="4" w:space="0"/>
            </w:tcBorders>
            <w:noWrap/>
            <w:vAlign w:val="center"/>
          </w:tcPr>
          <w:p w14:paraId="4D17C595">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774" w:type="dxa"/>
            <w:vMerge w:val="continue"/>
            <w:tcBorders>
              <w:left w:val="single" w:color="000000" w:sz="4" w:space="0"/>
              <w:right w:val="single" w:color="000000" w:sz="4" w:space="0"/>
            </w:tcBorders>
            <w:noWrap/>
            <w:vAlign w:val="center"/>
          </w:tcPr>
          <w:p w14:paraId="3992D34F">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1357" w:type="dxa"/>
            <w:tcBorders>
              <w:top w:val="single" w:color="auto" w:sz="4" w:space="0"/>
              <w:left w:val="single" w:color="000000" w:sz="4" w:space="0"/>
              <w:bottom w:val="single" w:color="auto" w:sz="4" w:space="0"/>
              <w:right w:val="single" w:color="auto" w:sz="4" w:space="0"/>
            </w:tcBorders>
            <w:noWrap w:val="0"/>
            <w:vAlign w:val="center"/>
          </w:tcPr>
          <w:p w14:paraId="77D86586">
            <w:pPr>
              <w:rPr>
                <w:rFonts w:hint="eastAsia" w:ascii="宋体" w:hAnsi="宋体" w:eastAsia="宋体" w:cs="宋体"/>
                <w:color w:val="auto"/>
                <w:sz w:val="22"/>
                <w:szCs w:val="22"/>
                <w:highlight w:val="none"/>
              </w:rPr>
            </w:pPr>
          </w:p>
        </w:tc>
        <w:tc>
          <w:tcPr>
            <w:tcW w:w="1241" w:type="dxa"/>
            <w:vMerge w:val="continue"/>
            <w:tcBorders>
              <w:left w:val="single" w:color="auto" w:sz="4" w:space="0"/>
              <w:right w:val="single" w:color="auto" w:sz="4" w:space="0"/>
            </w:tcBorders>
            <w:noWrap w:val="0"/>
            <w:vAlign w:val="center"/>
          </w:tcPr>
          <w:p w14:paraId="128F0D86">
            <w:pPr>
              <w:rPr>
                <w:rFonts w:hint="eastAsia" w:ascii="宋体" w:hAnsi="宋体" w:eastAsia="宋体" w:cs="宋体"/>
                <w:color w:val="auto"/>
                <w:sz w:val="22"/>
                <w:szCs w:val="22"/>
                <w:highlight w:val="none"/>
              </w:rPr>
            </w:pPr>
          </w:p>
        </w:tc>
        <w:tc>
          <w:tcPr>
            <w:tcW w:w="1763" w:type="dxa"/>
            <w:vMerge w:val="continue"/>
            <w:tcBorders>
              <w:left w:val="single" w:color="auto" w:sz="4" w:space="0"/>
              <w:right w:val="single" w:color="000000" w:sz="4" w:space="0"/>
            </w:tcBorders>
            <w:noWrap w:val="0"/>
            <w:vAlign w:val="center"/>
          </w:tcPr>
          <w:p w14:paraId="3B2150CC">
            <w:pPr>
              <w:rPr>
                <w:rFonts w:hint="eastAsia" w:ascii="宋体" w:hAnsi="宋体" w:eastAsia="宋体" w:cs="宋体"/>
                <w:color w:val="auto"/>
                <w:sz w:val="22"/>
                <w:szCs w:val="22"/>
                <w:highlight w:val="none"/>
              </w:rPr>
            </w:pPr>
          </w:p>
        </w:tc>
      </w:tr>
      <w:tr w14:paraId="0B69B5C2">
        <w:tblPrEx>
          <w:tblCellMar>
            <w:top w:w="0" w:type="dxa"/>
            <w:left w:w="108" w:type="dxa"/>
            <w:bottom w:w="0" w:type="dxa"/>
            <w:right w:w="108" w:type="dxa"/>
          </w:tblCellMar>
        </w:tblPrEx>
        <w:trPr>
          <w:trHeight w:val="339" w:hRule="atLeast"/>
          <w:jc w:val="center"/>
        </w:trPr>
        <w:tc>
          <w:tcPr>
            <w:tcW w:w="647" w:type="dxa"/>
            <w:vMerge w:val="continue"/>
            <w:tcBorders>
              <w:left w:val="single" w:color="000000" w:sz="4" w:space="0"/>
              <w:right w:val="single" w:color="000000" w:sz="4" w:space="0"/>
            </w:tcBorders>
            <w:noWrap/>
            <w:vAlign w:val="center"/>
          </w:tcPr>
          <w:p w14:paraId="098CCE6A">
            <w:pPr>
              <w:jc w:val="center"/>
              <w:textAlignment w:val="center"/>
              <w:rPr>
                <w:rFonts w:hint="eastAsia" w:ascii="宋体" w:hAnsi="宋体" w:eastAsia="宋体" w:cs="宋体"/>
                <w:color w:val="auto"/>
                <w:sz w:val="18"/>
                <w:szCs w:val="18"/>
                <w:highlight w:val="none"/>
                <w:lang w:bidi="ar"/>
              </w:rPr>
            </w:pPr>
          </w:p>
        </w:tc>
        <w:tc>
          <w:tcPr>
            <w:tcW w:w="1549" w:type="dxa"/>
            <w:vMerge w:val="continue"/>
            <w:tcBorders>
              <w:left w:val="single" w:color="000000" w:sz="4" w:space="0"/>
              <w:right w:val="single" w:color="000000" w:sz="4" w:space="0"/>
            </w:tcBorders>
            <w:noWrap/>
            <w:vAlign w:val="center"/>
          </w:tcPr>
          <w:p w14:paraId="05AF7FAF">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6480" w:type="dxa"/>
            <w:tcBorders>
              <w:top w:val="single" w:color="auto" w:sz="4" w:space="0"/>
              <w:left w:val="single" w:color="000000" w:sz="4" w:space="0"/>
              <w:bottom w:val="single" w:color="auto" w:sz="4" w:space="0"/>
              <w:right w:val="single" w:color="000000" w:sz="4" w:space="0"/>
            </w:tcBorders>
            <w:noWrap w:val="0"/>
            <w:vAlign w:val="center"/>
          </w:tcPr>
          <w:p w14:paraId="340E9E88">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 xml:space="preserve">5、显卡 ≥RTX4060 独立显卡 </w:t>
            </w:r>
          </w:p>
        </w:tc>
        <w:tc>
          <w:tcPr>
            <w:tcW w:w="731" w:type="dxa"/>
            <w:vMerge w:val="continue"/>
            <w:tcBorders>
              <w:left w:val="single" w:color="000000" w:sz="4" w:space="0"/>
              <w:right w:val="single" w:color="000000" w:sz="4" w:space="0"/>
            </w:tcBorders>
            <w:noWrap/>
            <w:vAlign w:val="center"/>
          </w:tcPr>
          <w:p w14:paraId="056291C5">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774" w:type="dxa"/>
            <w:vMerge w:val="continue"/>
            <w:tcBorders>
              <w:left w:val="single" w:color="000000" w:sz="4" w:space="0"/>
              <w:right w:val="single" w:color="000000" w:sz="4" w:space="0"/>
            </w:tcBorders>
            <w:noWrap/>
            <w:vAlign w:val="center"/>
          </w:tcPr>
          <w:p w14:paraId="57F12F64">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1357" w:type="dxa"/>
            <w:tcBorders>
              <w:top w:val="single" w:color="auto" w:sz="4" w:space="0"/>
              <w:left w:val="single" w:color="000000" w:sz="4" w:space="0"/>
              <w:bottom w:val="single" w:color="auto" w:sz="4" w:space="0"/>
              <w:right w:val="single" w:color="auto" w:sz="4" w:space="0"/>
            </w:tcBorders>
            <w:noWrap w:val="0"/>
            <w:vAlign w:val="center"/>
          </w:tcPr>
          <w:p w14:paraId="23FA8377">
            <w:pPr>
              <w:rPr>
                <w:rFonts w:hint="eastAsia" w:ascii="宋体" w:hAnsi="宋体" w:eastAsia="宋体" w:cs="宋体"/>
                <w:color w:val="auto"/>
                <w:sz w:val="22"/>
                <w:szCs w:val="22"/>
                <w:highlight w:val="none"/>
              </w:rPr>
            </w:pPr>
          </w:p>
        </w:tc>
        <w:tc>
          <w:tcPr>
            <w:tcW w:w="1241" w:type="dxa"/>
            <w:vMerge w:val="continue"/>
            <w:tcBorders>
              <w:left w:val="single" w:color="auto" w:sz="4" w:space="0"/>
              <w:right w:val="single" w:color="auto" w:sz="4" w:space="0"/>
            </w:tcBorders>
            <w:noWrap w:val="0"/>
            <w:vAlign w:val="center"/>
          </w:tcPr>
          <w:p w14:paraId="01B5483A">
            <w:pPr>
              <w:rPr>
                <w:rFonts w:hint="eastAsia" w:ascii="宋体" w:hAnsi="宋体" w:eastAsia="宋体" w:cs="宋体"/>
                <w:color w:val="auto"/>
                <w:sz w:val="22"/>
                <w:szCs w:val="22"/>
                <w:highlight w:val="none"/>
              </w:rPr>
            </w:pPr>
          </w:p>
        </w:tc>
        <w:tc>
          <w:tcPr>
            <w:tcW w:w="1763" w:type="dxa"/>
            <w:vMerge w:val="continue"/>
            <w:tcBorders>
              <w:left w:val="single" w:color="auto" w:sz="4" w:space="0"/>
              <w:right w:val="single" w:color="000000" w:sz="4" w:space="0"/>
            </w:tcBorders>
            <w:noWrap w:val="0"/>
            <w:vAlign w:val="center"/>
          </w:tcPr>
          <w:p w14:paraId="752A73A7">
            <w:pPr>
              <w:rPr>
                <w:rFonts w:hint="eastAsia" w:ascii="宋体" w:hAnsi="宋体" w:eastAsia="宋体" w:cs="宋体"/>
                <w:color w:val="auto"/>
                <w:sz w:val="22"/>
                <w:szCs w:val="22"/>
                <w:highlight w:val="none"/>
              </w:rPr>
            </w:pPr>
          </w:p>
        </w:tc>
      </w:tr>
      <w:tr w14:paraId="0B991E18">
        <w:tblPrEx>
          <w:tblCellMar>
            <w:top w:w="0" w:type="dxa"/>
            <w:left w:w="108" w:type="dxa"/>
            <w:bottom w:w="0" w:type="dxa"/>
            <w:right w:w="108" w:type="dxa"/>
          </w:tblCellMar>
        </w:tblPrEx>
        <w:trPr>
          <w:trHeight w:val="393" w:hRule="atLeast"/>
          <w:jc w:val="center"/>
        </w:trPr>
        <w:tc>
          <w:tcPr>
            <w:tcW w:w="647" w:type="dxa"/>
            <w:vMerge w:val="continue"/>
            <w:tcBorders>
              <w:left w:val="single" w:color="000000" w:sz="4" w:space="0"/>
              <w:right w:val="single" w:color="000000" w:sz="4" w:space="0"/>
            </w:tcBorders>
            <w:noWrap/>
            <w:vAlign w:val="center"/>
          </w:tcPr>
          <w:p w14:paraId="5652EDE9">
            <w:pPr>
              <w:jc w:val="center"/>
              <w:textAlignment w:val="center"/>
              <w:rPr>
                <w:rFonts w:hint="eastAsia" w:ascii="宋体" w:hAnsi="宋体" w:eastAsia="宋体" w:cs="宋体"/>
                <w:color w:val="auto"/>
                <w:sz w:val="18"/>
                <w:szCs w:val="18"/>
                <w:highlight w:val="none"/>
                <w:lang w:bidi="ar"/>
              </w:rPr>
            </w:pPr>
          </w:p>
        </w:tc>
        <w:tc>
          <w:tcPr>
            <w:tcW w:w="1549" w:type="dxa"/>
            <w:vMerge w:val="continue"/>
            <w:tcBorders>
              <w:left w:val="single" w:color="000000" w:sz="4" w:space="0"/>
              <w:right w:val="single" w:color="000000" w:sz="4" w:space="0"/>
            </w:tcBorders>
            <w:noWrap/>
            <w:vAlign w:val="center"/>
          </w:tcPr>
          <w:p w14:paraId="21D51111">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6480" w:type="dxa"/>
            <w:tcBorders>
              <w:top w:val="single" w:color="auto" w:sz="4" w:space="0"/>
              <w:left w:val="single" w:color="000000" w:sz="4" w:space="0"/>
              <w:right w:val="single" w:color="000000" w:sz="4" w:space="0"/>
            </w:tcBorders>
            <w:noWrap w:val="0"/>
            <w:vAlign w:val="center"/>
          </w:tcPr>
          <w:p w14:paraId="214B8473">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6、网卡：板载千兆网卡；</w:t>
            </w:r>
          </w:p>
        </w:tc>
        <w:tc>
          <w:tcPr>
            <w:tcW w:w="731" w:type="dxa"/>
            <w:vMerge w:val="continue"/>
            <w:tcBorders>
              <w:left w:val="single" w:color="000000" w:sz="4" w:space="0"/>
              <w:right w:val="single" w:color="000000" w:sz="4" w:space="0"/>
            </w:tcBorders>
            <w:noWrap/>
            <w:vAlign w:val="center"/>
          </w:tcPr>
          <w:p w14:paraId="3C63DE2B">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774" w:type="dxa"/>
            <w:vMerge w:val="continue"/>
            <w:tcBorders>
              <w:left w:val="single" w:color="000000" w:sz="4" w:space="0"/>
              <w:right w:val="single" w:color="000000" w:sz="4" w:space="0"/>
            </w:tcBorders>
            <w:noWrap/>
            <w:vAlign w:val="center"/>
          </w:tcPr>
          <w:p w14:paraId="253F9DEA">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1357" w:type="dxa"/>
            <w:tcBorders>
              <w:top w:val="single" w:color="auto" w:sz="4" w:space="0"/>
              <w:left w:val="single" w:color="000000" w:sz="4" w:space="0"/>
              <w:bottom w:val="single" w:color="auto" w:sz="4" w:space="0"/>
              <w:right w:val="single" w:color="auto" w:sz="4" w:space="0"/>
            </w:tcBorders>
            <w:noWrap w:val="0"/>
            <w:vAlign w:val="center"/>
          </w:tcPr>
          <w:p w14:paraId="463E674B">
            <w:pPr>
              <w:rPr>
                <w:rFonts w:hint="eastAsia" w:ascii="宋体" w:hAnsi="宋体" w:eastAsia="宋体" w:cs="宋体"/>
                <w:color w:val="auto"/>
                <w:sz w:val="22"/>
                <w:szCs w:val="22"/>
                <w:highlight w:val="none"/>
              </w:rPr>
            </w:pPr>
          </w:p>
        </w:tc>
        <w:tc>
          <w:tcPr>
            <w:tcW w:w="1241" w:type="dxa"/>
            <w:vMerge w:val="continue"/>
            <w:tcBorders>
              <w:left w:val="single" w:color="auto" w:sz="4" w:space="0"/>
              <w:right w:val="single" w:color="auto" w:sz="4" w:space="0"/>
            </w:tcBorders>
            <w:noWrap w:val="0"/>
            <w:vAlign w:val="center"/>
          </w:tcPr>
          <w:p w14:paraId="529F66A5">
            <w:pPr>
              <w:rPr>
                <w:rFonts w:hint="eastAsia" w:ascii="宋体" w:hAnsi="宋体" w:eastAsia="宋体" w:cs="宋体"/>
                <w:color w:val="auto"/>
                <w:sz w:val="22"/>
                <w:szCs w:val="22"/>
                <w:highlight w:val="none"/>
              </w:rPr>
            </w:pPr>
          </w:p>
        </w:tc>
        <w:tc>
          <w:tcPr>
            <w:tcW w:w="1763" w:type="dxa"/>
            <w:vMerge w:val="continue"/>
            <w:tcBorders>
              <w:left w:val="single" w:color="auto" w:sz="4" w:space="0"/>
              <w:right w:val="single" w:color="000000" w:sz="4" w:space="0"/>
            </w:tcBorders>
            <w:noWrap w:val="0"/>
            <w:vAlign w:val="center"/>
          </w:tcPr>
          <w:p w14:paraId="3481BA87">
            <w:pPr>
              <w:rPr>
                <w:rFonts w:hint="eastAsia" w:ascii="宋体" w:hAnsi="宋体" w:eastAsia="宋体" w:cs="宋体"/>
                <w:color w:val="auto"/>
                <w:sz w:val="22"/>
                <w:szCs w:val="22"/>
                <w:highlight w:val="none"/>
              </w:rPr>
            </w:pPr>
          </w:p>
        </w:tc>
      </w:tr>
      <w:tr w14:paraId="5909E2C3">
        <w:tblPrEx>
          <w:tblCellMar>
            <w:top w:w="0" w:type="dxa"/>
            <w:left w:w="108" w:type="dxa"/>
            <w:bottom w:w="0" w:type="dxa"/>
            <w:right w:w="108" w:type="dxa"/>
          </w:tblCellMar>
        </w:tblPrEx>
        <w:trPr>
          <w:trHeight w:val="312" w:hRule="atLeast"/>
          <w:jc w:val="center"/>
        </w:trPr>
        <w:tc>
          <w:tcPr>
            <w:tcW w:w="647" w:type="dxa"/>
            <w:vMerge w:val="continue"/>
            <w:tcBorders>
              <w:left w:val="single" w:color="000000" w:sz="4" w:space="0"/>
              <w:right w:val="single" w:color="000000" w:sz="4" w:space="0"/>
            </w:tcBorders>
            <w:noWrap/>
            <w:vAlign w:val="center"/>
          </w:tcPr>
          <w:p w14:paraId="55DD5CF2">
            <w:pPr>
              <w:jc w:val="center"/>
              <w:textAlignment w:val="center"/>
              <w:rPr>
                <w:rFonts w:hint="eastAsia" w:ascii="宋体" w:hAnsi="宋体" w:eastAsia="宋体" w:cs="宋体"/>
                <w:color w:val="auto"/>
                <w:sz w:val="18"/>
                <w:szCs w:val="18"/>
                <w:highlight w:val="none"/>
                <w:lang w:bidi="ar"/>
              </w:rPr>
            </w:pPr>
          </w:p>
        </w:tc>
        <w:tc>
          <w:tcPr>
            <w:tcW w:w="1549" w:type="dxa"/>
            <w:vMerge w:val="continue"/>
            <w:tcBorders>
              <w:left w:val="single" w:color="000000" w:sz="4" w:space="0"/>
              <w:right w:val="single" w:color="000000" w:sz="4" w:space="0"/>
            </w:tcBorders>
            <w:noWrap/>
            <w:vAlign w:val="center"/>
          </w:tcPr>
          <w:p w14:paraId="3AAC0BEF">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6480" w:type="dxa"/>
            <w:tcBorders>
              <w:top w:val="single" w:color="auto" w:sz="4" w:space="0"/>
              <w:left w:val="single" w:color="000000" w:sz="4" w:space="0"/>
              <w:right w:val="single" w:color="000000" w:sz="4" w:space="0"/>
            </w:tcBorders>
            <w:noWrap w:val="0"/>
            <w:vAlign w:val="center"/>
          </w:tcPr>
          <w:p w14:paraId="44DDA84A">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7、声卡：集成</w:t>
            </w:r>
          </w:p>
        </w:tc>
        <w:tc>
          <w:tcPr>
            <w:tcW w:w="731" w:type="dxa"/>
            <w:vMerge w:val="continue"/>
            <w:tcBorders>
              <w:left w:val="single" w:color="000000" w:sz="4" w:space="0"/>
              <w:right w:val="single" w:color="000000" w:sz="4" w:space="0"/>
            </w:tcBorders>
            <w:noWrap/>
            <w:vAlign w:val="center"/>
          </w:tcPr>
          <w:p w14:paraId="5677CFDB">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774" w:type="dxa"/>
            <w:vMerge w:val="continue"/>
            <w:tcBorders>
              <w:left w:val="single" w:color="000000" w:sz="4" w:space="0"/>
              <w:right w:val="single" w:color="000000" w:sz="4" w:space="0"/>
            </w:tcBorders>
            <w:noWrap/>
            <w:vAlign w:val="center"/>
          </w:tcPr>
          <w:p w14:paraId="048CD8D2">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1357" w:type="dxa"/>
            <w:tcBorders>
              <w:top w:val="single" w:color="auto" w:sz="4" w:space="0"/>
              <w:left w:val="single" w:color="000000" w:sz="4" w:space="0"/>
              <w:bottom w:val="single" w:color="auto" w:sz="4" w:space="0"/>
              <w:right w:val="single" w:color="auto" w:sz="4" w:space="0"/>
            </w:tcBorders>
            <w:noWrap w:val="0"/>
            <w:vAlign w:val="center"/>
          </w:tcPr>
          <w:p w14:paraId="3FAE6DCB">
            <w:pPr>
              <w:rPr>
                <w:rFonts w:hint="eastAsia" w:ascii="宋体" w:hAnsi="宋体" w:eastAsia="宋体" w:cs="宋体"/>
                <w:color w:val="auto"/>
                <w:sz w:val="22"/>
                <w:szCs w:val="22"/>
                <w:highlight w:val="none"/>
              </w:rPr>
            </w:pPr>
          </w:p>
        </w:tc>
        <w:tc>
          <w:tcPr>
            <w:tcW w:w="1241" w:type="dxa"/>
            <w:vMerge w:val="continue"/>
            <w:tcBorders>
              <w:left w:val="single" w:color="auto" w:sz="4" w:space="0"/>
              <w:right w:val="single" w:color="auto" w:sz="4" w:space="0"/>
            </w:tcBorders>
            <w:noWrap w:val="0"/>
            <w:vAlign w:val="center"/>
          </w:tcPr>
          <w:p w14:paraId="2764DC3E">
            <w:pPr>
              <w:rPr>
                <w:rFonts w:hint="eastAsia" w:ascii="宋体" w:hAnsi="宋体" w:eastAsia="宋体" w:cs="宋体"/>
                <w:color w:val="auto"/>
                <w:sz w:val="22"/>
                <w:szCs w:val="22"/>
                <w:highlight w:val="none"/>
              </w:rPr>
            </w:pPr>
          </w:p>
        </w:tc>
        <w:tc>
          <w:tcPr>
            <w:tcW w:w="1763" w:type="dxa"/>
            <w:vMerge w:val="continue"/>
            <w:tcBorders>
              <w:left w:val="single" w:color="auto" w:sz="4" w:space="0"/>
              <w:right w:val="single" w:color="000000" w:sz="4" w:space="0"/>
            </w:tcBorders>
            <w:noWrap w:val="0"/>
            <w:vAlign w:val="center"/>
          </w:tcPr>
          <w:p w14:paraId="605469B0">
            <w:pPr>
              <w:rPr>
                <w:rFonts w:hint="eastAsia" w:ascii="宋体" w:hAnsi="宋体" w:eastAsia="宋体" w:cs="宋体"/>
                <w:color w:val="auto"/>
                <w:sz w:val="22"/>
                <w:szCs w:val="22"/>
                <w:highlight w:val="none"/>
              </w:rPr>
            </w:pPr>
          </w:p>
        </w:tc>
      </w:tr>
      <w:tr w14:paraId="1D758810">
        <w:tblPrEx>
          <w:tblCellMar>
            <w:top w:w="0" w:type="dxa"/>
            <w:left w:w="108" w:type="dxa"/>
            <w:bottom w:w="0" w:type="dxa"/>
            <w:right w:w="108" w:type="dxa"/>
          </w:tblCellMar>
        </w:tblPrEx>
        <w:trPr>
          <w:trHeight w:val="312" w:hRule="atLeast"/>
          <w:jc w:val="center"/>
        </w:trPr>
        <w:tc>
          <w:tcPr>
            <w:tcW w:w="647" w:type="dxa"/>
            <w:vMerge w:val="continue"/>
            <w:tcBorders>
              <w:left w:val="single" w:color="000000" w:sz="4" w:space="0"/>
              <w:right w:val="single" w:color="000000" w:sz="4" w:space="0"/>
            </w:tcBorders>
            <w:noWrap/>
            <w:vAlign w:val="center"/>
          </w:tcPr>
          <w:p w14:paraId="5123E771">
            <w:pPr>
              <w:jc w:val="center"/>
              <w:textAlignment w:val="center"/>
              <w:rPr>
                <w:rFonts w:hint="eastAsia" w:ascii="宋体" w:hAnsi="宋体" w:eastAsia="宋体" w:cs="宋体"/>
                <w:color w:val="auto"/>
                <w:sz w:val="18"/>
                <w:szCs w:val="18"/>
                <w:highlight w:val="none"/>
                <w:lang w:bidi="ar"/>
              </w:rPr>
            </w:pPr>
          </w:p>
        </w:tc>
        <w:tc>
          <w:tcPr>
            <w:tcW w:w="1549" w:type="dxa"/>
            <w:vMerge w:val="continue"/>
            <w:tcBorders>
              <w:left w:val="single" w:color="000000" w:sz="4" w:space="0"/>
              <w:right w:val="single" w:color="000000" w:sz="4" w:space="0"/>
            </w:tcBorders>
            <w:noWrap/>
            <w:vAlign w:val="center"/>
          </w:tcPr>
          <w:p w14:paraId="34FC2C9F">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6480" w:type="dxa"/>
            <w:tcBorders>
              <w:top w:val="single" w:color="auto" w:sz="4" w:space="0"/>
              <w:left w:val="single" w:color="000000" w:sz="4" w:space="0"/>
              <w:right w:val="single" w:color="000000" w:sz="4" w:space="0"/>
            </w:tcBorders>
            <w:noWrap w:val="0"/>
            <w:vAlign w:val="center"/>
          </w:tcPr>
          <w:p w14:paraId="6E43F4EF">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8、IO接口 前置：USB3.0接口*2，USB2.0接口*2，麦克风接口*1，耳机接口*1</w:t>
            </w:r>
          </w:p>
        </w:tc>
        <w:tc>
          <w:tcPr>
            <w:tcW w:w="731" w:type="dxa"/>
            <w:vMerge w:val="continue"/>
            <w:tcBorders>
              <w:left w:val="single" w:color="000000" w:sz="4" w:space="0"/>
              <w:right w:val="single" w:color="000000" w:sz="4" w:space="0"/>
            </w:tcBorders>
            <w:noWrap/>
            <w:vAlign w:val="center"/>
          </w:tcPr>
          <w:p w14:paraId="2BFC5287">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774" w:type="dxa"/>
            <w:vMerge w:val="continue"/>
            <w:tcBorders>
              <w:left w:val="single" w:color="000000" w:sz="4" w:space="0"/>
              <w:right w:val="single" w:color="000000" w:sz="4" w:space="0"/>
            </w:tcBorders>
            <w:noWrap/>
            <w:vAlign w:val="center"/>
          </w:tcPr>
          <w:p w14:paraId="4BD8FDEE">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1357" w:type="dxa"/>
            <w:tcBorders>
              <w:top w:val="single" w:color="auto" w:sz="4" w:space="0"/>
              <w:left w:val="single" w:color="000000" w:sz="4" w:space="0"/>
              <w:bottom w:val="single" w:color="auto" w:sz="4" w:space="0"/>
              <w:right w:val="single" w:color="auto" w:sz="4" w:space="0"/>
            </w:tcBorders>
            <w:noWrap w:val="0"/>
            <w:vAlign w:val="center"/>
          </w:tcPr>
          <w:p w14:paraId="0425813E">
            <w:pPr>
              <w:rPr>
                <w:rFonts w:hint="eastAsia" w:ascii="宋体" w:hAnsi="宋体" w:eastAsia="宋体" w:cs="宋体"/>
                <w:color w:val="auto"/>
                <w:sz w:val="22"/>
                <w:szCs w:val="22"/>
                <w:highlight w:val="none"/>
              </w:rPr>
            </w:pPr>
          </w:p>
        </w:tc>
        <w:tc>
          <w:tcPr>
            <w:tcW w:w="1241" w:type="dxa"/>
            <w:vMerge w:val="continue"/>
            <w:tcBorders>
              <w:left w:val="single" w:color="auto" w:sz="4" w:space="0"/>
              <w:right w:val="single" w:color="auto" w:sz="4" w:space="0"/>
            </w:tcBorders>
            <w:noWrap w:val="0"/>
            <w:vAlign w:val="center"/>
          </w:tcPr>
          <w:p w14:paraId="30469B18">
            <w:pPr>
              <w:rPr>
                <w:rFonts w:hint="eastAsia" w:ascii="宋体" w:hAnsi="宋体" w:eastAsia="宋体" w:cs="宋体"/>
                <w:color w:val="auto"/>
                <w:sz w:val="22"/>
                <w:szCs w:val="22"/>
                <w:highlight w:val="none"/>
              </w:rPr>
            </w:pPr>
          </w:p>
        </w:tc>
        <w:tc>
          <w:tcPr>
            <w:tcW w:w="1763" w:type="dxa"/>
            <w:vMerge w:val="continue"/>
            <w:tcBorders>
              <w:left w:val="single" w:color="auto" w:sz="4" w:space="0"/>
              <w:right w:val="single" w:color="000000" w:sz="4" w:space="0"/>
            </w:tcBorders>
            <w:noWrap w:val="0"/>
            <w:vAlign w:val="center"/>
          </w:tcPr>
          <w:p w14:paraId="0BCF4F2B">
            <w:pPr>
              <w:rPr>
                <w:rFonts w:hint="eastAsia" w:ascii="宋体" w:hAnsi="宋体" w:eastAsia="宋体" w:cs="宋体"/>
                <w:color w:val="auto"/>
                <w:sz w:val="22"/>
                <w:szCs w:val="22"/>
                <w:highlight w:val="none"/>
              </w:rPr>
            </w:pPr>
          </w:p>
        </w:tc>
      </w:tr>
      <w:tr w14:paraId="0EC59178">
        <w:tblPrEx>
          <w:tblCellMar>
            <w:top w:w="0" w:type="dxa"/>
            <w:left w:w="108" w:type="dxa"/>
            <w:bottom w:w="0" w:type="dxa"/>
            <w:right w:w="108" w:type="dxa"/>
          </w:tblCellMar>
        </w:tblPrEx>
        <w:trPr>
          <w:trHeight w:val="339" w:hRule="atLeast"/>
          <w:jc w:val="center"/>
        </w:trPr>
        <w:tc>
          <w:tcPr>
            <w:tcW w:w="647" w:type="dxa"/>
            <w:vMerge w:val="continue"/>
            <w:tcBorders>
              <w:left w:val="single" w:color="000000" w:sz="4" w:space="0"/>
              <w:right w:val="single" w:color="000000" w:sz="4" w:space="0"/>
            </w:tcBorders>
            <w:noWrap/>
            <w:vAlign w:val="center"/>
          </w:tcPr>
          <w:p w14:paraId="644CF27F">
            <w:pPr>
              <w:jc w:val="center"/>
              <w:textAlignment w:val="center"/>
              <w:rPr>
                <w:rFonts w:hint="eastAsia" w:ascii="宋体" w:hAnsi="宋体" w:eastAsia="宋体" w:cs="宋体"/>
                <w:color w:val="auto"/>
                <w:sz w:val="18"/>
                <w:szCs w:val="18"/>
                <w:highlight w:val="none"/>
                <w:lang w:bidi="ar"/>
              </w:rPr>
            </w:pPr>
          </w:p>
        </w:tc>
        <w:tc>
          <w:tcPr>
            <w:tcW w:w="1549" w:type="dxa"/>
            <w:vMerge w:val="continue"/>
            <w:tcBorders>
              <w:left w:val="single" w:color="000000" w:sz="4" w:space="0"/>
              <w:right w:val="single" w:color="000000" w:sz="4" w:space="0"/>
            </w:tcBorders>
            <w:noWrap/>
            <w:vAlign w:val="center"/>
          </w:tcPr>
          <w:p w14:paraId="0944FB0F">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6480" w:type="dxa"/>
            <w:tcBorders>
              <w:top w:val="single" w:color="auto" w:sz="4" w:space="0"/>
              <w:left w:val="single" w:color="000000" w:sz="4" w:space="0"/>
              <w:right w:val="single" w:color="000000" w:sz="4" w:space="0"/>
            </w:tcBorders>
            <w:noWrap w:val="0"/>
            <w:vAlign w:val="center"/>
          </w:tcPr>
          <w:p w14:paraId="768C3B8A">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9、后置：USB3.2接口*4，USB2.0接口*2， PS/2接口*1，RJ45网络接口*1，音频接口*1组， HDMI接口*1，VGA接口*1；</w:t>
            </w:r>
          </w:p>
        </w:tc>
        <w:tc>
          <w:tcPr>
            <w:tcW w:w="731" w:type="dxa"/>
            <w:vMerge w:val="continue"/>
            <w:tcBorders>
              <w:left w:val="single" w:color="000000" w:sz="4" w:space="0"/>
              <w:right w:val="single" w:color="000000" w:sz="4" w:space="0"/>
            </w:tcBorders>
            <w:noWrap/>
            <w:vAlign w:val="center"/>
          </w:tcPr>
          <w:p w14:paraId="53664BFD">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774" w:type="dxa"/>
            <w:vMerge w:val="continue"/>
            <w:tcBorders>
              <w:left w:val="single" w:color="000000" w:sz="4" w:space="0"/>
              <w:right w:val="single" w:color="000000" w:sz="4" w:space="0"/>
            </w:tcBorders>
            <w:noWrap/>
            <w:vAlign w:val="center"/>
          </w:tcPr>
          <w:p w14:paraId="67543F5F">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1357" w:type="dxa"/>
            <w:tcBorders>
              <w:top w:val="single" w:color="auto" w:sz="4" w:space="0"/>
              <w:left w:val="single" w:color="000000" w:sz="4" w:space="0"/>
              <w:bottom w:val="single" w:color="auto" w:sz="4" w:space="0"/>
              <w:right w:val="single" w:color="auto" w:sz="4" w:space="0"/>
            </w:tcBorders>
            <w:noWrap w:val="0"/>
            <w:vAlign w:val="center"/>
          </w:tcPr>
          <w:p w14:paraId="2F8B5E7B">
            <w:pPr>
              <w:rPr>
                <w:rFonts w:hint="eastAsia" w:ascii="宋体" w:hAnsi="宋体" w:eastAsia="宋体" w:cs="宋体"/>
                <w:color w:val="auto"/>
                <w:sz w:val="22"/>
                <w:szCs w:val="22"/>
                <w:highlight w:val="none"/>
              </w:rPr>
            </w:pPr>
          </w:p>
        </w:tc>
        <w:tc>
          <w:tcPr>
            <w:tcW w:w="1241" w:type="dxa"/>
            <w:vMerge w:val="continue"/>
            <w:tcBorders>
              <w:left w:val="single" w:color="auto" w:sz="4" w:space="0"/>
              <w:right w:val="single" w:color="auto" w:sz="4" w:space="0"/>
            </w:tcBorders>
            <w:noWrap w:val="0"/>
            <w:vAlign w:val="center"/>
          </w:tcPr>
          <w:p w14:paraId="14E17973">
            <w:pPr>
              <w:rPr>
                <w:rFonts w:hint="eastAsia" w:ascii="宋体" w:hAnsi="宋体" w:eastAsia="宋体" w:cs="宋体"/>
                <w:color w:val="auto"/>
                <w:sz w:val="22"/>
                <w:szCs w:val="22"/>
                <w:highlight w:val="none"/>
              </w:rPr>
            </w:pPr>
          </w:p>
        </w:tc>
        <w:tc>
          <w:tcPr>
            <w:tcW w:w="1763" w:type="dxa"/>
            <w:vMerge w:val="continue"/>
            <w:tcBorders>
              <w:left w:val="single" w:color="auto" w:sz="4" w:space="0"/>
              <w:right w:val="single" w:color="000000" w:sz="4" w:space="0"/>
            </w:tcBorders>
            <w:noWrap w:val="0"/>
            <w:vAlign w:val="center"/>
          </w:tcPr>
          <w:p w14:paraId="4E63747E">
            <w:pPr>
              <w:rPr>
                <w:rFonts w:hint="eastAsia" w:ascii="宋体" w:hAnsi="宋体" w:eastAsia="宋体" w:cs="宋体"/>
                <w:color w:val="auto"/>
                <w:sz w:val="22"/>
                <w:szCs w:val="22"/>
                <w:highlight w:val="none"/>
              </w:rPr>
            </w:pPr>
          </w:p>
        </w:tc>
      </w:tr>
      <w:tr w14:paraId="06191D0D">
        <w:tblPrEx>
          <w:tblCellMar>
            <w:top w:w="0" w:type="dxa"/>
            <w:left w:w="108" w:type="dxa"/>
            <w:bottom w:w="0" w:type="dxa"/>
            <w:right w:w="108" w:type="dxa"/>
          </w:tblCellMar>
        </w:tblPrEx>
        <w:trPr>
          <w:trHeight w:val="377" w:hRule="atLeast"/>
          <w:jc w:val="center"/>
        </w:trPr>
        <w:tc>
          <w:tcPr>
            <w:tcW w:w="647" w:type="dxa"/>
            <w:vMerge w:val="continue"/>
            <w:tcBorders>
              <w:left w:val="single" w:color="000000" w:sz="4" w:space="0"/>
              <w:right w:val="single" w:color="000000" w:sz="4" w:space="0"/>
            </w:tcBorders>
            <w:noWrap/>
            <w:vAlign w:val="center"/>
          </w:tcPr>
          <w:p w14:paraId="64D806B3">
            <w:pPr>
              <w:jc w:val="center"/>
              <w:textAlignment w:val="center"/>
              <w:rPr>
                <w:rFonts w:hint="eastAsia" w:ascii="宋体" w:hAnsi="宋体" w:eastAsia="宋体" w:cs="宋体"/>
                <w:color w:val="auto"/>
                <w:sz w:val="18"/>
                <w:szCs w:val="18"/>
                <w:highlight w:val="none"/>
                <w:lang w:bidi="ar"/>
              </w:rPr>
            </w:pPr>
          </w:p>
        </w:tc>
        <w:tc>
          <w:tcPr>
            <w:tcW w:w="1549" w:type="dxa"/>
            <w:vMerge w:val="continue"/>
            <w:tcBorders>
              <w:left w:val="single" w:color="000000" w:sz="4" w:space="0"/>
              <w:right w:val="single" w:color="000000" w:sz="4" w:space="0"/>
            </w:tcBorders>
            <w:noWrap/>
            <w:vAlign w:val="center"/>
          </w:tcPr>
          <w:p w14:paraId="11380627">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6480" w:type="dxa"/>
            <w:tcBorders>
              <w:top w:val="single" w:color="auto" w:sz="4" w:space="0"/>
              <w:left w:val="single" w:color="000000" w:sz="4" w:space="0"/>
              <w:right w:val="single" w:color="000000" w:sz="4" w:space="0"/>
            </w:tcBorders>
            <w:noWrap w:val="0"/>
            <w:vAlign w:val="center"/>
          </w:tcPr>
          <w:p w14:paraId="14CBD648">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10、电源 ≥500W多路电源  输出插头≥4；</w:t>
            </w:r>
          </w:p>
        </w:tc>
        <w:tc>
          <w:tcPr>
            <w:tcW w:w="731" w:type="dxa"/>
            <w:vMerge w:val="continue"/>
            <w:tcBorders>
              <w:left w:val="single" w:color="000000" w:sz="4" w:space="0"/>
              <w:right w:val="single" w:color="000000" w:sz="4" w:space="0"/>
            </w:tcBorders>
            <w:noWrap/>
            <w:vAlign w:val="center"/>
          </w:tcPr>
          <w:p w14:paraId="5CCA0831">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774" w:type="dxa"/>
            <w:vMerge w:val="continue"/>
            <w:tcBorders>
              <w:left w:val="single" w:color="000000" w:sz="4" w:space="0"/>
              <w:right w:val="single" w:color="000000" w:sz="4" w:space="0"/>
            </w:tcBorders>
            <w:noWrap/>
            <w:vAlign w:val="center"/>
          </w:tcPr>
          <w:p w14:paraId="6092DA97">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1357" w:type="dxa"/>
            <w:tcBorders>
              <w:top w:val="single" w:color="auto" w:sz="4" w:space="0"/>
              <w:left w:val="single" w:color="000000" w:sz="4" w:space="0"/>
              <w:bottom w:val="single" w:color="auto" w:sz="4" w:space="0"/>
              <w:right w:val="single" w:color="auto" w:sz="4" w:space="0"/>
            </w:tcBorders>
            <w:noWrap w:val="0"/>
            <w:vAlign w:val="center"/>
          </w:tcPr>
          <w:p w14:paraId="4CC986DD">
            <w:pPr>
              <w:rPr>
                <w:rFonts w:hint="eastAsia" w:ascii="宋体" w:hAnsi="宋体" w:eastAsia="宋体" w:cs="宋体"/>
                <w:color w:val="auto"/>
                <w:sz w:val="22"/>
                <w:szCs w:val="22"/>
                <w:highlight w:val="none"/>
              </w:rPr>
            </w:pPr>
          </w:p>
        </w:tc>
        <w:tc>
          <w:tcPr>
            <w:tcW w:w="1241" w:type="dxa"/>
            <w:vMerge w:val="continue"/>
            <w:tcBorders>
              <w:left w:val="single" w:color="auto" w:sz="4" w:space="0"/>
              <w:right w:val="single" w:color="auto" w:sz="4" w:space="0"/>
            </w:tcBorders>
            <w:noWrap w:val="0"/>
            <w:vAlign w:val="center"/>
          </w:tcPr>
          <w:p w14:paraId="05A2F6F7">
            <w:pPr>
              <w:rPr>
                <w:rFonts w:hint="eastAsia" w:ascii="宋体" w:hAnsi="宋体" w:eastAsia="宋体" w:cs="宋体"/>
                <w:color w:val="auto"/>
                <w:sz w:val="22"/>
                <w:szCs w:val="22"/>
                <w:highlight w:val="none"/>
              </w:rPr>
            </w:pPr>
          </w:p>
        </w:tc>
        <w:tc>
          <w:tcPr>
            <w:tcW w:w="1763" w:type="dxa"/>
            <w:vMerge w:val="continue"/>
            <w:tcBorders>
              <w:left w:val="single" w:color="auto" w:sz="4" w:space="0"/>
              <w:right w:val="single" w:color="000000" w:sz="4" w:space="0"/>
            </w:tcBorders>
            <w:noWrap w:val="0"/>
            <w:vAlign w:val="center"/>
          </w:tcPr>
          <w:p w14:paraId="7174F87D">
            <w:pPr>
              <w:rPr>
                <w:rFonts w:hint="eastAsia" w:ascii="宋体" w:hAnsi="宋体" w:eastAsia="宋体" w:cs="宋体"/>
                <w:color w:val="auto"/>
                <w:sz w:val="22"/>
                <w:szCs w:val="22"/>
                <w:highlight w:val="none"/>
              </w:rPr>
            </w:pPr>
          </w:p>
        </w:tc>
      </w:tr>
      <w:tr w14:paraId="523FA928">
        <w:tblPrEx>
          <w:tblCellMar>
            <w:top w:w="0" w:type="dxa"/>
            <w:left w:w="108" w:type="dxa"/>
            <w:bottom w:w="0" w:type="dxa"/>
            <w:right w:w="108" w:type="dxa"/>
          </w:tblCellMar>
        </w:tblPrEx>
        <w:trPr>
          <w:trHeight w:val="411" w:hRule="atLeast"/>
          <w:jc w:val="center"/>
        </w:trPr>
        <w:tc>
          <w:tcPr>
            <w:tcW w:w="647" w:type="dxa"/>
            <w:vMerge w:val="continue"/>
            <w:tcBorders>
              <w:left w:val="single" w:color="000000" w:sz="4" w:space="0"/>
              <w:right w:val="single" w:color="000000" w:sz="4" w:space="0"/>
            </w:tcBorders>
            <w:noWrap/>
            <w:vAlign w:val="center"/>
          </w:tcPr>
          <w:p w14:paraId="0FA19F9B">
            <w:pPr>
              <w:jc w:val="center"/>
              <w:textAlignment w:val="center"/>
              <w:rPr>
                <w:rFonts w:hint="eastAsia" w:ascii="宋体" w:hAnsi="宋体" w:eastAsia="宋体" w:cs="宋体"/>
                <w:color w:val="auto"/>
                <w:sz w:val="18"/>
                <w:szCs w:val="18"/>
                <w:highlight w:val="none"/>
                <w:lang w:bidi="ar"/>
              </w:rPr>
            </w:pPr>
          </w:p>
        </w:tc>
        <w:tc>
          <w:tcPr>
            <w:tcW w:w="1549" w:type="dxa"/>
            <w:vMerge w:val="continue"/>
            <w:tcBorders>
              <w:left w:val="single" w:color="000000" w:sz="4" w:space="0"/>
              <w:right w:val="single" w:color="000000" w:sz="4" w:space="0"/>
            </w:tcBorders>
            <w:noWrap/>
            <w:vAlign w:val="center"/>
          </w:tcPr>
          <w:p w14:paraId="3CB82F7C">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6480" w:type="dxa"/>
            <w:tcBorders>
              <w:top w:val="single" w:color="auto" w:sz="4" w:space="0"/>
              <w:left w:val="single" w:color="000000" w:sz="4" w:space="0"/>
              <w:right w:val="single" w:color="000000" w:sz="4" w:space="0"/>
            </w:tcBorders>
            <w:noWrap w:val="0"/>
            <w:vAlign w:val="center"/>
          </w:tcPr>
          <w:p w14:paraId="6ED6C7A8">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11、机箱：立式机箱≥24L，机箱上部有提手，免工具开启机箱面板，前置I/O，前置电源开关和重启键，机箱后部预留有机箱安全锁位孔。机箱前面板预留标准光驱位和软驱位，便于后续扩展。</w:t>
            </w:r>
          </w:p>
        </w:tc>
        <w:tc>
          <w:tcPr>
            <w:tcW w:w="731" w:type="dxa"/>
            <w:vMerge w:val="continue"/>
            <w:tcBorders>
              <w:left w:val="single" w:color="000000" w:sz="4" w:space="0"/>
              <w:right w:val="single" w:color="000000" w:sz="4" w:space="0"/>
            </w:tcBorders>
            <w:noWrap/>
            <w:vAlign w:val="center"/>
          </w:tcPr>
          <w:p w14:paraId="39964638">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774" w:type="dxa"/>
            <w:vMerge w:val="continue"/>
            <w:tcBorders>
              <w:left w:val="single" w:color="000000" w:sz="4" w:space="0"/>
              <w:right w:val="single" w:color="000000" w:sz="4" w:space="0"/>
            </w:tcBorders>
            <w:noWrap/>
            <w:vAlign w:val="center"/>
          </w:tcPr>
          <w:p w14:paraId="22D0109F">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1357" w:type="dxa"/>
            <w:tcBorders>
              <w:top w:val="single" w:color="auto" w:sz="4" w:space="0"/>
              <w:left w:val="single" w:color="000000" w:sz="4" w:space="0"/>
              <w:bottom w:val="single" w:color="auto" w:sz="4" w:space="0"/>
              <w:right w:val="single" w:color="auto" w:sz="4" w:space="0"/>
            </w:tcBorders>
            <w:noWrap w:val="0"/>
            <w:vAlign w:val="center"/>
          </w:tcPr>
          <w:p w14:paraId="69ADABCB">
            <w:pPr>
              <w:rPr>
                <w:rFonts w:hint="eastAsia" w:ascii="宋体" w:hAnsi="宋体" w:eastAsia="宋体" w:cs="宋体"/>
                <w:color w:val="auto"/>
                <w:sz w:val="22"/>
                <w:szCs w:val="22"/>
                <w:highlight w:val="none"/>
              </w:rPr>
            </w:pPr>
          </w:p>
        </w:tc>
        <w:tc>
          <w:tcPr>
            <w:tcW w:w="1241" w:type="dxa"/>
            <w:vMerge w:val="continue"/>
            <w:tcBorders>
              <w:left w:val="single" w:color="auto" w:sz="4" w:space="0"/>
              <w:right w:val="single" w:color="auto" w:sz="4" w:space="0"/>
            </w:tcBorders>
            <w:noWrap w:val="0"/>
            <w:vAlign w:val="center"/>
          </w:tcPr>
          <w:p w14:paraId="6F0CE665">
            <w:pPr>
              <w:rPr>
                <w:rFonts w:hint="eastAsia" w:ascii="宋体" w:hAnsi="宋体" w:eastAsia="宋体" w:cs="宋体"/>
                <w:color w:val="auto"/>
                <w:sz w:val="22"/>
                <w:szCs w:val="22"/>
                <w:highlight w:val="none"/>
              </w:rPr>
            </w:pPr>
          </w:p>
        </w:tc>
        <w:tc>
          <w:tcPr>
            <w:tcW w:w="1763" w:type="dxa"/>
            <w:vMerge w:val="continue"/>
            <w:tcBorders>
              <w:left w:val="single" w:color="auto" w:sz="4" w:space="0"/>
              <w:right w:val="single" w:color="000000" w:sz="4" w:space="0"/>
            </w:tcBorders>
            <w:noWrap w:val="0"/>
            <w:vAlign w:val="center"/>
          </w:tcPr>
          <w:p w14:paraId="60933C15">
            <w:pPr>
              <w:rPr>
                <w:rFonts w:hint="eastAsia" w:ascii="宋体" w:hAnsi="宋体" w:eastAsia="宋体" w:cs="宋体"/>
                <w:color w:val="auto"/>
                <w:sz w:val="22"/>
                <w:szCs w:val="22"/>
                <w:highlight w:val="none"/>
              </w:rPr>
            </w:pPr>
          </w:p>
        </w:tc>
      </w:tr>
      <w:tr w14:paraId="5CEA84E3">
        <w:tblPrEx>
          <w:tblCellMar>
            <w:top w:w="0" w:type="dxa"/>
            <w:left w:w="108" w:type="dxa"/>
            <w:bottom w:w="0" w:type="dxa"/>
            <w:right w:w="108" w:type="dxa"/>
          </w:tblCellMar>
        </w:tblPrEx>
        <w:trPr>
          <w:trHeight w:val="435" w:hRule="atLeast"/>
          <w:jc w:val="center"/>
        </w:trPr>
        <w:tc>
          <w:tcPr>
            <w:tcW w:w="647" w:type="dxa"/>
            <w:vMerge w:val="continue"/>
            <w:tcBorders>
              <w:left w:val="single" w:color="000000" w:sz="4" w:space="0"/>
              <w:right w:val="single" w:color="000000" w:sz="4" w:space="0"/>
            </w:tcBorders>
            <w:noWrap/>
            <w:vAlign w:val="center"/>
          </w:tcPr>
          <w:p w14:paraId="1516A62E">
            <w:pPr>
              <w:jc w:val="center"/>
              <w:textAlignment w:val="center"/>
              <w:rPr>
                <w:rFonts w:hint="eastAsia" w:ascii="宋体" w:hAnsi="宋体" w:eastAsia="宋体" w:cs="宋体"/>
                <w:color w:val="auto"/>
                <w:sz w:val="18"/>
                <w:szCs w:val="18"/>
                <w:highlight w:val="none"/>
                <w:lang w:bidi="ar"/>
              </w:rPr>
            </w:pPr>
          </w:p>
        </w:tc>
        <w:tc>
          <w:tcPr>
            <w:tcW w:w="1549" w:type="dxa"/>
            <w:vMerge w:val="continue"/>
            <w:tcBorders>
              <w:left w:val="single" w:color="000000" w:sz="4" w:space="0"/>
              <w:right w:val="single" w:color="000000" w:sz="4" w:space="0"/>
            </w:tcBorders>
            <w:noWrap/>
            <w:vAlign w:val="center"/>
          </w:tcPr>
          <w:p w14:paraId="5038C130">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6480" w:type="dxa"/>
            <w:tcBorders>
              <w:top w:val="single" w:color="auto" w:sz="4" w:space="0"/>
              <w:left w:val="single" w:color="000000" w:sz="4" w:space="0"/>
              <w:bottom w:val="single" w:color="auto" w:sz="4" w:space="0"/>
              <w:right w:val="single" w:color="000000" w:sz="4" w:space="0"/>
            </w:tcBorders>
            <w:noWrap w:val="0"/>
            <w:vAlign w:val="center"/>
          </w:tcPr>
          <w:p w14:paraId="30380CE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12、键盘鼠标：光电鼠标键盘，通过抗菌测试。</w:t>
            </w:r>
          </w:p>
        </w:tc>
        <w:tc>
          <w:tcPr>
            <w:tcW w:w="731" w:type="dxa"/>
            <w:vMerge w:val="continue"/>
            <w:tcBorders>
              <w:left w:val="single" w:color="000000" w:sz="4" w:space="0"/>
              <w:right w:val="single" w:color="000000" w:sz="4" w:space="0"/>
            </w:tcBorders>
            <w:noWrap/>
            <w:vAlign w:val="center"/>
          </w:tcPr>
          <w:p w14:paraId="7F12E679">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774" w:type="dxa"/>
            <w:vMerge w:val="continue"/>
            <w:tcBorders>
              <w:left w:val="single" w:color="000000" w:sz="4" w:space="0"/>
              <w:right w:val="single" w:color="000000" w:sz="4" w:space="0"/>
            </w:tcBorders>
            <w:noWrap/>
            <w:vAlign w:val="center"/>
          </w:tcPr>
          <w:p w14:paraId="1694E147">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1357" w:type="dxa"/>
            <w:tcBorders>
              <w:top w:val="single" w:color="auto" w:sz="4" w:space="0"/>
              <w:left w:val="single" w:color="000000" w:sz="4" w:space="0"/>
              <w:bottom w:val="single" w:color="auto" w:sz="4" w:space="0"/>
              <w:right w:val="single" w:color="auto" w:sz="4" w:space="0"/>
            </w:tcBorders>
            <w:noWrap w:val="0"/>
            <w:vAlign w:val="center"/>
          </w:tcPr>
          <w:p w14:paraId="37DD85A5">
            <w:pPr>
              <w:rPr>
                <w:rFonts w:hint="eastAsia" w:ascii="宋体" w:hAnsi="宋体" w:eastAsia="宋体" w:cs="宋体"/>
                <w:color w:val="auto"/>
                <w:sz w:val="22"/>
                <w:szCs w:val="22"/>
                <w:highlight w:val="none"/>
              </w:rPr>
            </w:pPr>
          </w:p>
        </w:tc>
        <w:tc>
          <w:tcPr>
            <w:tcW w:w="1241" w:type="dxa"/>
            <w:vMerge w:val="continue"/>
            <w:tcBorders>
              <w:left w:val="single" w:color="auto" w:sz="4" w:space="0"/>
              <w:right w:val="single" w:color="auto" w:sz="4" w:space="0"/>
            </w:tcBorders>
            <w:noWrap w:val="0"/>
            <w:vAlign w:val="center"/>
          </w:tcPr>
          <w:p w14:paraId="7AAEE5B9">
            <w:pPr>
              <w:rPr>
                <w:rFonts w:hint="eastAsia" w:ascii="宋体" w:hAnsi="宋体" w:eastAsia="宋体" w:cs="宋体"/>
                <w:color w:val="auto"/>
                <w:sz w:val="22"/>
                <w:szCs w:val="22"/>
                <w:highlight w:val="none"/>
              </w:rPr>
            </w:pPr>
          </w:p>
        </w:tc>
        <w:tc>
          <w:tcPr>
            <w:tcW w:w="1763" w:type="dxa"/>
            <w:vMerge w:val="continue"/>
            <w:tcBorders>
              <w:left w:val="single" w:color="auto" w:sz="4" w:space="0"/>
              <w:right w:val="single" w:color="000000" w:sz="4" w:space="0"/>
            </w:tcBorders>
            <w:noWrap w:val="0"/>
            <w:vAlign w:val="center"/>
          </w:tcPr>
          <w:p w14:paraId="51CC40AE">
            <w:pPr>
              <w:rPr>
                <w:rFonts w:hint="eastAsia" w:ascii="宋体" w:hAnsi="宋体" w:eastAsia="宋体" w:cs="宋体"/>
                <w:color w:val="auto"/>
                <w:sz w:val="22"/>
                <w:szCs w:val="22"/>
                <w:highlight w:val="none"/>
              </w:rPr>
            </w:pPr>
          </w:p>
        </w:tc>
      </w:tr>
      <w:tr w14:paraId="451CD898">
        <w:tblPrEx>
          <w:tblCellMar>
            <w:top w:w="0" w:type="dxa"/>
            <w:left w:w="108" w:type="dxa"/>
            <w:bottom w:w="0" w:type="dxa"/>
            <w:right w:w="108" w:type="dxa"/>
          </w:tblCellMar>
        </w:tblPrEx>
        <w:trPr>
          <w:trHeight w:val="312" w:hRule="atLeast"/>
          <w:jc w:val="center"/>
        </w:trPr>
        <w:tc>
          <w:tcPr>
            <w:tcW w:w="647" w:type="dxa"/>
            <w:vMerge w:val="continue"/>
            <w:tcBorders>
              <w:left w:val="single" w:color="000000" w:sz="4" w:space="0"/>
              <w:right w:val="single" w:color="000000" w:sz="4" w:space="0"/>
            </w:tcBorders>
            <w:noWrap/>
            <w:vAlign w:val="center"/>
          </w:tcPr>
          <w:p w14:paraId="44DD1BE6">
            <w:pPr>
              <w:jc w:val="center"/>
              <w:textAlignment w:val="center"/>
              <w:rPr>
                <w:rFonts w:hint="eastAsia" w:ascii="宋体" w:hAnsi="宋体" w:eastAsia="宋体" w:cs="宋体"/>
                <w:color w:val="auto"/>
                <w:sz w:val="18"/>
                <w:szCs w:val="18"/>
                <w:highlight w:val="none"/>
                <w:lang w:bidi="ar"/>
              </w:rPr>
            </w:pPr>
          </w:p>
        </w:tc>
        <w:tc>
          <w:tcPr>
            <w:tcW w:w="1549" w:type="dxa"/>
            <w:vMerge w:val="continue"/>
            <w:tcBorders>
              <w:left w:val="single" w:color="000000" w:sz="4" w:space="0"/>
              <w:right w:val="single" w:color="000000" w:sz="4" w:space="0"/>
            </w:tcBorders>
            <w:noWrap/>
            <w:vAlign w:val="center"/>
          </w:tcPr>
          <w:p w14:paraId="51B1A486">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6480" w:type="dxa"/>
            <w:tcBorders>
              <w:top w:val="single" w:color="auto" w:sz="4" w:space="0"/>
              <w:left w:val="single" w:color="000000" w:sz="4" w:space="0"/>
              <w:right w:val="single" w:color="000000" w:sz="4" w:space="0"/>
            </w:tcBorders>
            <w:noWrap w:val="0"/>
            <w:vAlign w:val="center"/>
          </w:tcPr>
          <w:p w14:paraId="1C571275">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13、显示器 ≥23英寸LED显示器，分辨率2560 x 1440，响应时间5ms，具备VGA+HDMI视频接口，支持壁挂；</w:t>
            </w:r>
          </w:p>
        </w:tc>
        <w:tc>
          <w:tcPr>
            <w:tcW w:w="731" w:type="dxa"/>
            <w:vMerge w:val="continue"/>
            <w:tcBorders>
              <w:left w:val="single" w:color="000000" w:sz="4" w:space="0"/>
              <w:right w:val="single" w:color="000000" w:sz="4" w:space="0"/>
            </w:tcBorders>
            <w:noWrap/>
            <w:vAlign w:val="center"/>
          </w:tcPr>
          <w:p w14:paraId="0E0DBEB1">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774" w:type="dxa"/>
            <w:vMerge w:val="continue"/>
            <w:tcBorders>
              <w:left w:val="single" w:color="000000" w:sz="4" w:space="0"/>
              <w:right w:val="single" w:color="000000" w:sz="4" w:space="0"/>
            </w:tcBorders>
            <w:noWrap/>
            <w:vAlign w:val="center"/>
          </w:tcPr>
          <w:p w14:paraId="64C0875F">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1357" w:type="dxa"/>
            <w:vMerge w:val="restart"/>
            <w:tcBorders>
              <w:top w:val="single" w:color="auto" w:sz="4" w:space="0"/>
              <w:left w:val="single" w:color="000000" w:sz="4" w:space="0"/>
              <w:right w:val="single" w:color="auto" w:sz="4" w:space="0"/>
            </w:tcBorders>
            <w:noWrap w:val="0"/>
            <w:vAlign w:val="center"/>
          </w:tcPr>
          <w:p w14:paraId="0E6B137C">
            <w:pPr>
              <w:rPr>
                <w:rFonts w:hint="eastAsia" w:ascii="宋体" w:hAnsi="宋体" w:eastAsia="宋体" w:cs="宋体"/>
                <w:color w:val="auto"/>
                <w:sz w:val="22"/>
                <w:szCs w:val="22"/>
                <w:highlight w:val="none"/>
              </w:rPr>
            </w:pPr>
          </w:p>
        </w:tc>
        <w:tc>
          <w:tcPr>
            <w:tcW w:w="1241" w:type="dxa"/>
            <w:vMerge w:val="continue"/>
            <w:tcBorders>
              <w:left w:val="single" w:color="auto" w:sz="4" w:space="0"/>
              <w:right w:val="single" w:color="auto" w:sz="4" w:space="0"/>
            </w:tcBorders>
            <w:noWrap w:val="0"/>
            <w:vAlign w:val="center"/>
          </w:tcPr>
          <w:p w14:paraId="242C8D9F">
            <w:pPr>
              <w:rPr>
                <w:rFonts w:hint="eastAsia" w:ascii="宋体" w:hAnsi="宋体" w:eastAsia="宋体" w:cs="宋体"/>
                <w:color w:val="auto"/>
                <w:sz w:val="22"/>
                <w:szCs w:val="22"/>
                <w:highlight w:val="none"/>
              </w:rPr>
            </w:pPr>
          </w:p>
        </w:tc>
        <w:tc>
          <w:tcPr>
            <w:tcW w:w="1763" w:type="dxa"/>
            <w:vMerge w:val="continue"/>
            <w:tcBorders>
              <w:left w:val="single" w:color="auto" w:sz="4" w:space="0"/>
              <w:right w:val="single" w:color="000000" w:sz="4" w:space="0"/>
            </w:tcBorders>
            <w:noWrap w:val="0"/>
            <w:vAlign w:val="center"/>
          </w:tcPr>
          <w:p w14:paraId="2A3DB76D">
            <w:pPr>
              <w:rPr>
                <w:rFonts w:hint="eastAsia" w:ascii="宋体" w:hAnsi="宋体" w:eastAsia="宋体" w:cs="宋体"/>
                <w:color w:val="auto"/>
                <w:sz w:val="22"/>
                <w:szCs w:val="22"/>
                <w:highlight w:val="none"/>
              </w:rPr>
            </w:pPr>
          </w:p>
        </w:tc>
      </w:tr>
      <w:tr w14:paraId="493E8FDF">
        <w:tblPrEx>
          <w:tblCellMar>
            <w:top w:w="0" w:type="dxa"/>
            <w:left w:w="108" w:type="dxa"/>
            <w:bottom w:w="0" w:type="dxa"/>
            <w:right w:w="108" w:type="dxa"/>
          </w:tblCellMar>
        </w:tblPrEx>
        <w:trPr>
          <w:trHeight w:val="244" w:hRule="atLeast"/>
          <w:jc w:val="center"/>
        </w:trPr>
        <w:tc>
          <w:tcPr>
            <w:tcW w:w="647" w:type="dxa"/>
            <w:vMerge w:val="continue"/>
            <w:tcBorders>
              <w:left w:val="single" w:color="000000" w:sz="4" w:space="0"/>
              <w:right w:val="single" w:color="000000" w:sz="4" w:space="0"/>
            </w:tcBorders>
            <w:noWrap/>
            <w:vAlign w:val="center"/>
          </w:tcPr>
          <w:p w14:paraId="7844CB04">
            <w:pPr>
              <w:jc w:val="center"/>
              <w:textAlignment w:val="center"/>
              <w:rPr>
                <w:rFonts w:hint="eastAsia" w:ascii="宋体" w:hAnsi="宋体" w:eastAsia="宋体" w:cs="宋体"/>
                <w:color w:val="auto"/>
                <w:sz w:val="18"/>
                <w:szCs w:val="18"/>
                <w:highlight w:val="none"/>
                <w:lang w:bidi="ar"/>
              </w:rPr>
            </w:pPr>
          </w:p>
        </w:tc>
        <w:tc>
          <w:tcPr>
            <w:tcW w:w="1549" w:type="dxa"/>
            <w:vMerge w:val="continue"/>
            <w:tcBorders>
              <w:left w:val="single" w:color="000000" w:sz="4" w:space="0"/>
              <w:right w:val="single" w:color="000000" w:sz="4" w:space="0"/>
            </w:tcBorders>
            <w:noWrap/>
            <w:vAlign w:val="center"/>
          </w:tcPr>
          <w:p w14:paraId="39FC88B5">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6480" w:type="dxa"/>
            <w:tcBorders>
              <w:top w:val="single" w:color="auto" w:sz="4" w:space="0"/>
              <w:left w:val="single" w:color="000000" w:sz="4" w:space="0"/>
              <w:bottom w:val="single" w:color="auto" w:sz="4" w:space="0"/>
              <w:right w:val="single" w:color="000000" w:sz="4" w:space="0"/>
            </w:tcBorders>
            <w:noWrap w:val="0"/>
            <w:vAlign w:val="center"/>
          </w:tcPr>
          <w:p w14:paraId="0C6E76B0">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14、操作系统 预装WIN10 Pro 操作系统</w:t>
            </w:r>
          </w:p>
        </w:tc>
        <w:tc>
          <w:tcPr>
            <w:tcW w:w="731" w:type="dxa"/>
            <w:vMerge w:val="continue"/>
            <w:tcBorders>
              <w:left w:val="single" w:color="000000" w:sz="4" w:space="0"/>
              <w:right w:val="single" w:color="000000" w:sz="4" w:space="0"/>
            </w:tcBorders>
            <w:noWrap/>
            <w:vAlign w:val="center"/>
          </w:tcPr>
          <w:p w14:paraId="428ABE99">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774" w:type="dxa"/>
            <w:vMerge w:val="continue"/>
            <w:tcBorders>
              <w:left w:val="single" w:color="000000" w:sz="4" w:space="0"/>
              <w:right w:val="single" w:color="000000" w:sz="4" w:space="0"/>
            </w:tcBorders>
            <w:noWrap/>
            <w:vAlign w:val="center"/>
          </w:tcPr>
          <w:p w14:paraId="2E8A968B">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1357" w:type="dxa"/>
            <w:vMerge w:val="continue"/>
            <w:tcBorders>
              <w:top w:val="single" w:color="auto" w:sz="4" w:space="0"/>
              <w:left w:val="single" w:color="000000" w:sz="4" w:space="0"/>
              <w:bottom w:val="single" w:color="auto" w:sz="4" w:space="0"/>
              <w:right w:val="single" w:color="auto" w:sz="4" w:space="0"/>
            </w:tcBorders>
            <w:noWrap w:val="0"/>
            <w:vAlign w:val="center"/>
          </w:tcPr>
          <w:p w14:paraId="518AB232">
            <w:pPr>
              <w:rPr>
                <w:rFonts w:hint="eastAsia" w:ascii="宋体" w:hAnsi="宋体" w:eastAsia="宋体" w:cs="宋体"/>
                <w:color w:val="auto"/>
                <w:sz w:val="22"/>
                <w:szCs w:val="22"/>
                <w:highlight w:val="none"/>
              </w:rPr>
            </w:pPr>
          </w:p>
        </w:tc>
        <w:tc>
          <w:tcPr>
            <w:tcW w:w="1241" w:type="dxa"/>
            <w:vMerge w:val="continue"/>
            <w:tcBorders>
              <w:left w:val="single" w:color="auto" w:sz="4" w:space="0"/>
              <w:right w:val="single" w:color="auto" w:sz="4" w:space="0"/>
            </w:tcBorders>
            <w:noWrap w:val="0"/>
            <w:vAlign w:val="center"/>
          </w:tcPr>
          <w:p w14:paraId="4A9A2495">
            <w:pPr>
              <w:rPr>
                <w:rFonts w:hint="eastAsia" w:ascii="宋体" w:hAnsi="宋体" w:eastAsia="宋体" w:cs="宋体"/>
                <w:color w:val="auto"/>
                <w:sz w:val="22"/>
                <w:szCs w:val="22"/>
                <w:highlight w:val="none"/>
              </w:rPr>
            </w:pPr>
          </w:p>
        </w:tc>
        <w:tc>
          <w:tcPr>
            <w:tcW w:w="1763" w:type="dxa"/>
            <w:vMerge w:val="continue"/>
            <w:tcBorders>
              <w:left w:val="single" w:color="auto" w:sz="4" w:space="0"/>
              <w:right w:val="single" w:color="000000" w:sz="4" w:space="0"/>
            </w:tcBorders>
            <w:noWrap w:val="0"/>
            <w:vAlign w:val="center"/>
          </w:tcPr>
          <w:p w14:paraId="6FB56C97">
            <w:pPr>
              <w:rPr>
                <w:rFonts w:hint="eastAsia" w:ascii="宋体" w:hAnsi="宋体" w:eastAsia="宋体" w:cs="宋体"/>
                <w:color w:val="auto"/>
                <w:sz w:val="22"/>
                <w:szCs w:val="22"/>
                <w:highlight w:val="none"/>
              </w:rPr>
            </w:pPr>
          </w:p>
        </w:tc>
      </w:tr>
      <w:tr w14:paraId="775FBD8E">
        <w:tblPrEx>
          <w:tblCellMar>
            <w:top w:w="0" w:type="dxa"/>
            <w:left w:w="108" w:type="dxa"/>
            <w:bottom w:w="0" w:type="dxa"/>
            <w:right w:w="108" w:type="dxa"/>
          </w:tblCellMar>
        </w:tblPrEx>
        <w:trPr>
          <w:trHeight w:val="428" w:hRule="atLeast"/>
          <w:jc w:val="center"/>
        </w:trPr>
        <w:tc>
          <w:tcPr>
            <w:tcW w:w="647" w:type="dxa"/>
            <w:vMerge w:val="continue"/>
            <w:tcBorders>
              <w:left w:val="single" w:color="000000" w:sz="4" w:space="0"/>
              <w:right w:val="single" w:color="000000" w:sz="4" w:space="0"/>
            </w:tcBorders>
            <w:noWrap/>
            <w:vAlign w:val="center"/>
          </w:tcPr>
          <w:p w14:paraId="73CD3A25">
            <w:pPr>
              <w:jc w:val="center"/>
              <w:textAlignment w:val="center"/>
              <w:rPr>
                <w:rFonts w:hint="eastAsia" w:ascii="宋体" w:hAnsi="宋体" w:eastAsia="宋体" w:cs="宋体"/>
                <w:color w:val="auto"/>
                <w:sz w:val="18"/>
                <w:szCs w:val="18"/>
                <w:highlight w:val="none"/>
                <w:lang w:bidi="ar"/>
              </w:rPr>
            </w:pPr>
          </w:p>
        </w:tc>
        <w:tc>
          <w:tcPr>
            <w:tcW w:w="1549" w:type="dxa"/>
            <w:vMerge w:val="continue"/>
            <w:tcBorders>
              <w:left w:val="single" w:color="000000" w:sz="4" w:space="0"/>
              <w:right w:val="single" w:color="000000" w:sz="4" w:space="0"/>
            </w:tcBorders>
            <w:noWrap/>
            <w:vAlign w:val="center"/>
          </w:tcPr>
          <w:p w14:paraId="10C4DC9F">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6480" w:type="dxa"/>
            <w:tcBorders>
              <w:top w:val="single" w:color="auto" w:sz="4" w:space="0"/>
              <w:left w:val="single" w:color="000000" w:sz="4" w:space="0"/>
              <w:right w:val="single" w:color="000000" w:sz="4" w:space="0"/>
            </w:tcBorders>
            <w:noWrap w:val="0"/>
            <w:vAlign w:val="center"/>
          </w:tcPr>
          <w:p w14:paraId="5EBFDB0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15、保修：整机提供两年质保及免费上门服务。</w:t>
            </w:r>
          </w:p>
        </w:tc>
        <w:tc>
          <w:tcPr>
            <w:tcW w:w="731" w:type="dxa"/>
            <w:vMerge w:val="continue"/>
            <w:tcBorders>
              <w:left w:val="single" w:color="000000" w:sz="4" w:space="0"/>
              <w:right w:val="single" w:color="000000" w:sz="4" w:space="0"/>
            </w:tcBorders>
            <w:noWrap/>
            <w:vAlign w:val="center"/>
          </w:tcPr>
          <w:p w14:paraId="29DDC5F6">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774" w:type="dxa"/>
            <w:vMerge w:val="continue"/>
            <w:tcBorders>
              <w:left w:val="single" w:color="000000" w:sz="4" w:space="0"/>
              <w:right w:val="single" w:color="000000" w:sz="4" w:space="0"/>
            </w:tcBorders>
            <w:noWrap/>
            <w:vAlign w:val="center"/>
          </w:tcPr>
          <w:p w14:paraId="753C0810">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1357" w:type="dxa"/>
            <w:tcBorders>
              <w:top w:val="single" w:color="auto" w:sz="4" w:space="0"/>
              <w:left w:val="single" w:color="000000" w:sz="4" w:space="0"/>
              <w:bottom w:val="single" w:color="auto" w:sz="4" w:space="0"/>
              <w:right w:val="single" w:color="auto" w:sz="4" w:space="0"/>
            </w:tcBorders>
            <w:noWrap w:val="0"/>
            <w:vAlign w:val="center"/>
          </w:tcPr>
          <w:p w14:paraId="3DF98E13">
            <w:pPr>
              <w:rPr>
                <w:rFonts w:hint="eastAsia" w:ascii="宋体" w:hAnsi="宋体" w:eastAsia="宋体" w:cs="宋体"/>
                <w:color w:val="auto"/>
                <w:sz w:val="22"/>
                <w:szCs w:val="22"/>
                <w:highlight w:val="none"/>
              </w:rPr>
            </w:pPr>
          </w:p>
        </w:tc>
        <w:tc>
          <w:tcPr>
            <w:tcW w:w="1241" w:type="dxa"/>
            <w:vMerge w:val="continue"/>
            <w:tcBorders>
              <w:left w:val="single" w:color="auto" w:sz="4" w:space="0"/>
              <w:right w:val="single" w:color="auto" w:sz="4" w:space="0"/>
            </w:tcBorders>
            <w:noWrap w:val="0"/>
            <w:vAlign w:val="center"/>
          </w:tcPr>
          <w:p w14:paraId="7FF9870A">
            <w:pPr>
              <w:rPr>
                <w:rFonts w:hint="eastAsia" w:ascii="宋体" w:hAnsi="宋体" w:eastAsia="宋体" w:cs="宋体"/>
                <w:color w:val="auto"/>
                <w:sz w:val="22"/>
                <w:szCs w:val="22"/>
                <w:highlight w:val="none"/>
              </w:rPr>
            </w:pPr>
          </w:p>
        </w:tc>
        <w:tc>
          <w:tcPr>
            <w:tcW w:w="1763" w:type="dxa"/>
            <w:vMerge w:val="continue"/>
            <w:tcBorders>
              <w:left w:val="single" w:color="auto" w:sz="4" w:space="0"/>
              <w:right w:val="single" w:color="000000" w:sz="4" w:space="0"/>
            </w:tcBorders>
            <w:noWrap w:val="0"/>
            <w:vAlign w:val="center"/>
          </w:tcPr>
          <w:p w14:paraId="7F1E39F0">
            <w:pPr>
              <w:rPr>
                <w:rFonts w:hint="eastAsia" w:ascii="宋体" w:hAnsi="宋体" w:eastAsia="宋体" w:cs="宋体"/>
                <w:color w:val="auto"/>
                <w:sz w:val="22"/>
                <w:szCs w:val="22"/>
                <w:highlight w:val="none"/>
              </w:rPr>
            </w:pPr>
          </w:p>
        </w:tc>
      </w:tr>
      <w:tr w14:paraId="44791DA9">
        <w:tblPrEx>
          <w:tblCellMar>
            <w:top w:w="0" w:type="dxa"/>
            <w:left w:w="108" w:type="dxa"/>
            <w:bottom w:w="0" w:type="dxa"/>
            <w:right w:w="108" w:type="dxa"/>
          </w:tblCellMar>
        </w:tblPrEx>
        <w:trPr>
          <w:trHeight w:val="273" w:hRule="atLeast"/>
          <w:jc w:val="center"/>
        </w:trPr>
        <w:tc>
          <w:tcPr>
            <w:tcW w:w="647" w:type="dxa"/>
            <w:tcBorders>
              <w:top w:val="single" w:color="000000" w:sz="4" w:space="0"/>
              <w:left w:val="single" w:color="000000" w:sz="4" w:space="0"/>
              <w:bottom w:val="single" w:color="000000" w:sz="4" w:space="0"/>
              <w:right w:val="single" w:color="000000" w:sz="4" w:space="0"/>
            </w:tcBorders>
            <w:noWrap/>
            <w:vAlign w:val="center"/>
          </w:tcPr>
          <w:p w14:paraId="3858F6E4">
            <w:pPr>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18"/>
                <w:szCs w:val="18"/>
                <w:highlight w:val="none"/>
                <w:lang w:val="en-US" w:eastAsia="zh-CN"/>
              </w:rPr>
              <w:t>2</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4974D705">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正版同传还原软件</w:t>
            </w:r>
          </w:p>
        </w:tc>
        <w:tc>
          <w:tcPr>
            <w:tcW w:w="6480" w:type="dxa"/>
            <w:tcBorders>
              <w:top w:val="single" w:color="000000" w:sz="4" w:space="0"/>
              <w:left w:val="single" w:color="000000" w:sz="4" w:space="0"/>
              <w:bottom w:val="single" w:color="000000" w:sz="4" w:space="0"/>
              <w:right w:val="single" w:color="000000" w:sz="4" w:space="0"/>
            </w:tcBorders>
            <w:noWrap w:val="0"/>
            <w:vAlign w:val="center"/>
          </w:tcPr>
          <w:p w14:paraId="49BA0421">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网络同传 出厂预装硬盘版网络同传软件。</w:t>
            </w:r>
          </w:p>
          <w:p w14:paraId="38430502">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1、</w:t>
            </w:r>
            <w:r>
              <w:rPr>
                <w:rFonts w:hint="eastAsia" w:ascii="宋体" w:hAnsi="宋体" w:eastAsia="宋体" w:cs="宋体"/>
                <w:color w:val="auto"/>
                <w:sz w:val="18"/>
                <w:szCs w:val="18"/>
                <w:highlight w:val="none"/>
                <w:lang w:val="en-US" w:eastAsia="zh-CN"/>
              </w:rPr>
              <w:t>保护/恢复数据：可对单分区、多分区经行快速保护和快速恢复数据。并且隐藏启动界面，隐藏操作员界面，隐藏恢复进度条。</w:t>
            </w:r>
          </w:p>
          <w:p w14:paraId="46065C48">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2、</w:t>
            </w:r>
            <w:r>
              <w:rPr>
                <w:rFonts w:hint="eastAsia" w:ascii="宋体" w:hAnsi="宋体" w:eastAsia="宋体" w:cs="宋体"/>
                <w:color w:val="auto"/>
                <w:sz w:val="18"/>
                <w:szCs w:val="18"/>
                <w:highlight w:val="none"/>
                <w:lang w:val="en-US" w:eastAsia="zh-CN"/>
              </w:rPr>
              <w:t>智能同传：安装部署方便，支持传统BIOS主板及UEFI主板；支持XP、Windows7 32/64、Windows8 32/64、Windows10 32/64、Windows11等操作系统；</w:t>
            </w:r>
          </w:p>
          <w:p w14:paraId="03B9969D">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3、</w:t>
            </w:r>
            <w:r>
              <w:rPr>
                <w:rFonts w:hint="eastAsia" w:ascii="宋体" w:hAnsi="宋体" w:eastAsia="宋体" w:cs="宋体"/>
                <w:color w:val="auto"/>
                <w:sz w:val="18"/>
                <w:szCs w:val="18"/>
                <w:highlight w:val="none"/>
                <w:lang w:val="en-US" w:eastAsia="zh-CN"/>
              </w:rPr>
              <w:t>网络对拷：支持PXE网卡引导，需同传的机子不管有没有系统都可进行快速部署。即使接收端硬盘状态不一，也能“增量对拷”，并智能化计算后传送最少数据量。</w:t>
            </w:r>
          </w:p>
          <w:p w14:paraId="4E196735">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4、</w:t>
            </w:r>
            <w:r>
              <w:rPr>
                <w:rFonts w:hint="eastAsia" w:ascii="宋体" w:hAnsi="宋体" w:eastAsia="宋体" w:cs="宋体"/>
                <w:color w:val="auto"/>
                <w:sz w:val="18"/>
                <w:szCs w:val="18"/>
                <w:highlight w:val="none"/>
                <w:lang w:val="en-US" w:eastAsia="zh-CN"/>
              </w:rPr>
              <w:t>本地硬盘复制:同时支持本地1对3块硬盘复制，可以一对三进行硬盘对拷完，方便少数故障机快速恢复正常状态。系统克隆：在同一块硬盘上可以同时复制多个相同的操作系统到其他分区。可以在一块硬盘上克隆多个系统，快速部署，满足不同场景下的教学环境需求。</w:t>
            </w:r>
          </w:p>
          <w:p w14:paraId="6EA7BBF7">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5、</w:t>
            </w:r>
            <w:r>
              <w:rPr>
                <w:rFonts w:hint="eastAsia" w:ascii="宋体" w:hAnsi="宋体" w:eastAsia="宋体" w:cs="宋体"/>
                <w:color w:val="auto"/>
                <w:sz w:val="18"/>
                <w:szCs w:val="18"/>
                <w:highlight w:val="none"/>
                <w:lang w:val="en-US" w:eastAsia="zh-CN"/>
              </w:rPr>
              <w:t>远程锁定：管理端可远程锁定客户端的鼠标、键盘或屏幕。</w:t>
            </w:r>
            <w:r>
              <w:rPr>
                <w:rFonts w:hint="eastAsia" w:ascii="宋体" w:hAnsi="宋体" w:eastAsia="宋体" w:cs="宋体"/>
                <w:color w:val="auto"/>
                <w:sz w:val="18"/>
                <w:szCs w:val="18"/>
                <w:highlight w:val="none"/>
                <w:lang w:val="en-US" w:eastAsia="zh-CN"/>
              </w:rPr>
              <w:tab/>
            </w:r>
          </w:p>
          <w:p w14:paraId="4FB6C351">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6、</w:t>
            </w:r>
            <w:r>
              <w:rPr>
                <w:rFonts w:hint="eastAsia" w:ascii="宋体" w:hAnsi="宋体" w:eastAsia="宋体" w:cs="宋体"/>
                <w:color w:val="auto"/>
                <w:sz w:val="18"/>
                <w:szCs w:val="18"/>
                <w:highlight w:val="none"/>
                <w:lang w:val="en-US" w:eastAsia="zh-CN"/>
              </w:rPr>
              <w:t>排程设置：设定时间后自动开机进行网络同传，完成后所有计算机自动关机。</w:t>
            </w:r>
          </w:p>
          <w:p w14:paraId="0E093988">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7、</w:t>
            </w:r>
            <w:r>
              <w:rPr>
                <w:rFonts w:hint="eastAsia" w:ascii="宋体" w:hAnsi="宋体" w:eastAsia="宋体" w:cs="宋体"/>
                <w:color w:val="auto"/>
                <w:sz w:val="18"/>
                <w:szCs w:val="18"/>
                <w:highlight w:val="none"/>
                <w:lang w:val="en-US" w:eastAsia="zh-CN"/>
              </w:rPr>
              <w:t>资产管理:管理端可对客户端的软硬件信息进行资产盘点，并导出Doc或Excel文件以便保存。</w:t>
            </w:r>
          </w:p>
          <w:p w14:paraId="02A8FE1F">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8、</w:t>
            </w:r>
            <w:r>
              <w:rPr>
                <w:rFonts w:hint="eastAsia" w:ascii="宋体" w:hAnsi="宋体" w:eastAsia="宋体" w:cs="宋体"/>
                <w:color w:val="auto"/>
                <w:sz w:val="18"/>
                <w:szCs w:val="18"/>
                <w:highlight w:val="none"/>
                <w:lang w:val="en-US" w:eastAsia="zh-CN"/>
              </w:rPr>
              <w:t>产品升级：管理端可下发升级包在几分钟内就升级所有客户端程序。</w:t>
            </w:r>
          </w:p>
          <w:p w14:paraId="1E12D078">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9、</w:t>
            </w:r>
            <w:r>
              <w:rPr>
                <w:rFonts w:hint="eastAsia" w:ascii="宋体" w:hAnsi="宋体" w:eastAsia="宋体" w:cs="宋体"/>
                <w:color w:val="auto"/>
                <w:sz w:val="18"/>
                <w:szCs w:val="18"/>
                <w:highlight w:val="none"/>
                <w:lang w:val="en-US" w:eastAsia="zh-CN"/>
              </w:rPr>
              <w:t>电子教室：软件含电子教室功能，实现课堂教学老师对学生广播教学、学生演示、网页广播、电子点名、提交作业等多项教学互动功能。</w:t>
            </w:r>
          </w:p>
          <w:p w14:paraId="62F99C3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10、</w:t>
            </w:r>
            <w:r>
              <w:rPr>
                <w:rFonts w:hint="eastAsia" w:ascii="宋体" w:hAnsi="宋体" w:eastAsia="宋体" w:cs="宋体"/>
                <w:color w:val="auto"/>
                <w:sz w:val="18"/>
                <w:szCs w:val="18"/>
                <w:highlight w:val="none"/>
                <w:lang w:val="en-US" w:eastAsia="zh-CN"/>
              </w:rPr>
              <w:t>客户端搜索：管理端可以抓取该局域网内的所有客户端，即便该客户端已登入其他管理端。便于一次性管理所有电脑教室。将系统被使用的情况都记录在日志文件内，以供需要时查询。</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0F79400F">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2924EB8A">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套（60点位）</w:t>
            </w:r>
          </w:p>
        </w:tc>
        <w:tc>
          <w:tcPr>
            <w:tcW w:w="1357" w:type="dxa"/>
            <w:tcBorders>
              <w:top w:val="single" w:color="auto" w:sz="4" w:space="0"/>
              <w:left w:val="single" w:color="000000" w:sz="4" w:space="0"/>
              <w:bottom w:val="single" w:color="000000" w:sz="4" w:space="0"/>
              <w:right w:val="single" w:color="auto" w:sz="4" w:space="0"/>
            </w:tcBorders>
            <w:noWrap w:val="0"/>
            <w:vAlign w:val="center"/>
          </w:tcPr>
          <w:p w14:paraId="2BF173C2">
            <w:pPr>
              <w:rPr>
                <w:rFonts w:hint="eastAsia" w:ascii="宋体" w:hAnsi="宋体" w:eastAsia="宋体" w:cs="宋体"/>
                <w:color w:val="auto"/>
                <w:sz w:val="22"/>
                <w:szCs w:val="22"/>
                <w:highlight w:val="none"/>
                <w:lang w:val="en-US" w:eastAsia="zh-CN"/>
              </w:rPr>
            </w:pPr>
          </w:p>
        </w:tc>
        <w:tc>
          <w:tcPr>
            <w:tcW w:w="1241" w:type="dxa"/>
            <w:tcBorders>
              <w:top w:val="single" w:color="000000" w:sz="4" w:space="0"/>
              <w:left w:val="single" w:color="auto" w:sz="4" w:space="0"/>
              <w:bottom w:val="single" w:color="000000" w:sz="4" w:space="0"/>
              <w:right w:val="single" w:color="auto" w:sz="4" w:space="0"/>
            </w:tcBorders>
            <w:noWrap w:val="0"/>
            <w:vAlign w:val="center"/>
          </w:tcPr>
          <w:p w14:paraId="7B8B0C38">
            <w:pPr>
              <w:rPr>
                <w:rFonts w:hint="eastAsia" w:ascii="宋体" w:hAnsi="宋体" w:eastAsia="宋体" w:cs="宋体"/>
                <w:color w:val="auto"/>
                <w:sz w:val="22"/>
                <w:szCs w:val="22"/>
                <w:highlight w:val="none"/>
                <w:lang w:val="en-US" w:eastAsia="zh-CN"/>
              </w:rPr>
            </w:pPr>
          </w:p>
        </w:tc>
        <w:tc>
          <w:tcPr>
            <w:tcW w:w="1763" w:type="dxa"/>
            <w:tcBorders>
              <w:top w:val="single" w:color="000000" w:sz="4" w:space="0"/>
              <w:left w:val="single" w:color="auto" w:sz="4" w:space="0"/>
              <w:bottom w:val="single" w:color="000000" w:sz="4" w:space="0"/>
              <w:right w:val="single" w:color="000000" w:sz="4" w:space="0"/>
            </w:tcBorders>
            <w:noWrap w:val="0"/>
            <w:vAlign w:val="center"/>
          </w:tcPr>
          <w:p w14:paraId="471165C1">
            <w:pPr>
              <w:rPr>
                <w:rFonts w:hint="eastAsia" w:ascii="宋体" w:hAnsi="宋体" w:eastAsia="宋体" w:cs="宋体"/>
                <w:color w:val="auto"/>
                <w:sz w:val="22"/>
                <w:szCs w:val="22"/>
                <w:highlight w:val="none"/>
                <w:lang w:val="en-US" w:eastAsia="zh-CN"/>
              </w:rPr>
            </w:pPr>
          </w:p>
        </w:tc>
      </w:tr>
      <w:tr w14:paraId="18F90BAB">
        <w:tblPrEx>
          <w:tblCellMar>
            <w:top w:w="0" w:type="dxa"/>
            <w:left w:w="108" w:type="dxa"/>
            <w:bottom w:w="0" w:type="dxa"/>
            <w:right w:w="108" w:type="dxa"/>
          </w:tblCellMar>
        </w:tblPrEx>
        <w:trPr>
          <w:trHeight w:val="499" w:hRule="atLeast"/>
          <w:jc w:val="center"/>
        </w:trPr>
        <w:tc>
          <w:tcPr>
            <w:tcW w:w="647" w:type="dxa"/>
            <w:tcBorders>
              <w:top w:val="single" w:color="000000" w:sz="4" w:space="0"/>
              <w:left w:val="single" w:color="000000" w:sz="4" w:space="0"/>
              <w:bottom w:val="single" w:color="000000" w:sz="4" w:space="0"/>
              <w:right w:val="single" w:color="000000" w:sz="4" w:space="0"/>
            </w:tcBorders>
            <w:noWrap/>
            <w:vAlign w:val="center"/>
          </w:tcPr>
          <w:p w14:paraId="3A158106">
            <w:pPr>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18"/>
                <w:szCs w:val="18"/>
                <w:highlight w:val="none"/>
                <w:lang w:val="en-US" w:eastAsia="zh-CN"/>
              </w:rPr>
              <w:t>3</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38BC65B5">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电子教室</w:t>
            </w:r>
          </w:p>
        </w:tc>
        <w:tc>
          <w:tcPr>
            <w:tcW w:w="6480" w:type="dxa"/>
            <w:tcBorders>
              <w:top w:val="single" w:color="000000" w:sz="4" w:space="0"/>
              <w:left w:val="single" w:color="000000" w:sz="4" w:space="0"/>
              <w:bottom w:val="single" w:color="000000" w:sz="4" w:space="0"/>
              <w:right w:val="single" w:color="000000" w:sz="4" w:space="0"/>
            </w:tcBorders>
            <w:noWrap w:val="0"/>
            <w:vAlign w:val="center"/>
          </w:tcPr>
          <w:p w14:paraId="294F25D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1、屏幕广播：将教师机屏幕和教师讲话实时广播给单一、部分或全体学生，可选择全屏或窗口方式。</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2、共享白板：教师可共享白板、桌面或图片与选定的学生共同完成相同的学习任务或绘画作品，提供学生也可以单独完成。</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3、网络影院：实现教师机播放的视频同步广播到学生机。</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4、屏幕录制：教师机可以将本地的操作和讲解过程录制为mp4录像文件，可以用 Windows 自带的 Media Player 直接播放。</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5、学生端屏幕录制、回放：学生端接收教师端广播的时候可以自动录制教师机广播教学的过程，课后可以重复观看学习。</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文件分发：允许教师将教师机不同盘符中的目录或文件一起发送至生机的某目录下。目录不存在自动新建此目录；盘符不存在或路径非法不允许分发；文件已存在选择自动覆盖或保留原始文件。</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6、文件提交：学生把做好的作业直接提交到教师机，方便教师批改作业要收取的麻烦。</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7、屏幕监视：教师机可以监视单一、部分、全体学生机的屏幕，教师机每屏可监视多个学生屏幕（方便监视操作及查看）。可以控制教师机监控的同屏幕各窗口间、屏幕与屏幕间的切换速度。可手动或自动循环监视。</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8、网页限制：设定学生访问网站的黑名单或白名单，对学生可以访问的Internet站点进行管理。支持多浏览器限制，如QQ、IE、谷歌、360、遨游等浏览器。</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9、程序限制：通过各种策略的应用，可防止学生在教学过程中打游戏，或使用QQ，MSN等聊天工具，支持限制U盘，网络映射盘，硬盘虚拟盘，虚拟光盘，内存虚拟盘里的程序。</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10、自动锁屏：独有的断线保护自动锁屏技术，通过网卡的是否激活来锁定屏幕，避免学生拔掉网线违反纪律。</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11、防杀进程：为安全起见，学生端程序运行后，防止学生通过任务管理器结束学生端程序进程来逃脱教师控制。</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请求帮助：学生端遇到问题可请求帮助，教师端可远程遥控帮助学生解决问题。</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36F8FF4F">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439DEB19">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套</w:t>
            </w:r>
          </w:p>
        </w:tc>
        <w:tc>
          <w:tcPr>
            <w:tcW w:w="1357" w:type="dxa"/>
            <w:tcBorders>
              <w:top w:val="single" w:color="000000" w:sz="4" w:space="0"/>
              <w:left w:val="single" w:color="000000" w:sz="4" w:space="0"/>
              <w:bottom w:val="single" w:color="000000" w:sz="4" w:space="0"/>
              <w:right w:val="single" w:color="auto" w:sz="4" w:space="0"/>
            </w:tcBorders>
            <w:noWrap w:val="0"/>
            <w:vAlign w:val="center"/>
          </w:tcPr>
          <w:p w14:paraId="230D577D">
            <w:pPr>
              <w:rPr>
                <w:rFonts w:hint="eastAsia" w:ascii="宋体" w:hAnsi="宋体" w:eastAsia="宋体" w:cs="宋体"/>
                <w:color w:val="auto"/>
                <w:sz w:val="22"/>
                <w:szCs w:val="22"/>
                <w:highlight w:val="none"/>
              </w:rPr>
            </w:pPr>
          </w:p>
        </w:tc>
        <w:tc>
          <w:tcPr>
            <w:tcW w:w="1241" w:type="dxa"/>
            <w:tcBorders>
              <w:top w:val="single" w:color="000000" w:sz="4" w:space="0"/>
              <w:left w:val="single" w:color="auto" w:sz="4" w:space="0"/>
              <w:bottom w:val="single" w:color="000000" w:sz="4" w:space="0"/>
              <w:right w:val="single" w:color="auto" w:sz="4" w:space="0"/>
            </w:tcBorders>
            <w:noWrap w:val="0"/>
            <w:vAlign w:val="center"/>
          </w:tcPr>
          <w:p w14:paraId="0A11290D">
            <w:pPr>
              <w:rPr>
                <w:rFonts w:hint="eastAsia" w:ascii="宋体" w:hAnsi="宋体" w:eastAsia="宋体" w:cs="宋体"/>
                <w:color w:val="auto"/>
                <w:sz w:val="22"/>
                <w:szCs w:val="22"/>
                <w:highlight w:val="none"/>
              </w:rPr>
            </w:pPr>
          </w:p>
        </w:tc>
        <w:tc>
          <w:tcPr>
            <w:tcW w:w="1763" w:type="dxa"/>
            <w:tcBorders>
              <w:top w:val="single" w:color="000000" w:sz="4" w:space="0"/>
              <w:left w:val="single" w:color="auto" w:sz="4" w:space="0"/>
              <w:bottom w:val="single" w:color="000000" w:sz="4" w:space="0"/>
              <w:right w:val="single" w:color="000000" w:sz="4" w:space="0"/>
            </w:tcBorders>
            <w:noWrap w:val="0"/>
            <w:vAlign w:val="center"/>
          </w:tcPr>
          <w:p w14:paraId="06599A0D">
            <w:pPr>
              <w:rPr>
                <w:rFonts w:hint="eastAsia" w:ascii="宋体" w:hAnsi="宋体" w:eastAsia="宋体" w:cs="宋体"/>
                <w:color w:val="auto"/>
                <w:sz w:val="22"/>
                <w:szCs w:val="22"/>
                <w:highlight w:val="none"/>
              </w:rPr>
            </w:pPr>
          </w:p>
        </w:tc>
      </w:tr>
      <w:tr w14:paraId="196A0058">
        <w:tblPrEx>
          <w:tblCellMar>
            <w:top w:w="0" w:type="dxa"/>
            <w:left w:w="108" w:type="dxa"/>
            <w:bottom w:w="0" w:type="dxa"/>
            <w:right w:w="108" w:type="dxa"/>
          </w:tblCellMar>
        </w:tblPrEx>
        <w:trPr>
          <w:trHeight w:val="499" w:hRule="atLeast"/>
          <w:jc w:val="center"/>
        </w:trPr>
        <w:tc>
          <w:tcPr>
            <w:tcW w:w="647" w:type="dxa"/>
            <w:tcBorders>
              <w:top w:val="single" w:color="000000" w:sz="4" w:space="0"/>
              <w:left w:val="single" w:color="000000" w:sz="4" w:space="0"/>
              <w:bottom w:val="single" w:color="000000" w:sz="4" w:space="0"/>
              <w:right w:val="single" w:color="000000" w:sz="4" w:space="0"/>
            </w:tcBorders>
            <w:noWrap/>
            <w:vAlign w:val="center"/>
          </w:tcPr>
          <w:p w14:paraId="5570DACF">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41D3CDD6">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智能交互平板</w:t>
            </w:r>
          </w:p>
        </w:tc>
        <w:tc>
          <w:tcPr>
            <w:tcW w:w="6480" w:type="dxa"/>
            <w:tcBorders>
              <w:top w:val="single" w:color="000000" w:sz="4" w:space="0"/>
              <w:left w:val="single" w:color="000000" w:sz="4" w:space="0"/>
              <w:bottom w:val="single" w:color="000000" w:sz="4" w:space="0"/>
              <w:right w:val="single" w:color="000000" w:sz="4" w:space="0"/>
            </w:tcBorders>
            <w:noWrap w:val="0"/>
            <w:vAlign w:val="center"/>
          </w:tcPr>
          <w:p w14:paraId="3233CAC8">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1.智能交互平板显示尺寸86英寸，分辨率：3840*2160，采用红外触控技术，在双系统下均支持20点同时触控及书写，智能交互平板显示部分需采用高色彩覆盖技术，NTSC色域标准下覆盖率不低于95%。</w:t>
            </w:r>
          </w:p>
          <w:p w14:paraId="4C601E87">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2.设备采用物理减滤蓝光设计，无需其他的多余按键操作即可实现防蓝光，有效保护用眼健康，通过扫描设备自带的二维码可获取检测机构的认证信息。</w:t>
            </w:r>
          </w:p>
          <w:p w14:paraId="737285A2">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3.为方便外接信号源的输入以及满足数据的高速传输需求，设备至少1路前置HDMI接口（非转接）、2路前置USB3.0接口1路Type-C接口，同时为方便用户外接拓展设备，整机标配1路VGA输入接口。</w:t>
            </w:r>
          </w:p>
          <w:p w14:paraId="53225F67">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 xml:space="preserve">4.为方便用户进行各类设置和操作，设备前置按键不少于7个，可快速进行音量加减、窗口关闭、触控开关等功能的设置和调用，且均具备按键复用功能。 </w:t>
            </w:r>
          </w:p>
          <w:p w14:paraId="108A1CC6">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5.内置电脑</w:t>
            </w:r>
          </w:p>
          <w:p w14:paraId="08D257B3">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⑴采用80pin Intel通用标准接口,即插即用，易于维护；</w:t>
            </w:r>
          </w:p>
          <w:p w14:paraId="53BCF851">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⑵CPU采用Intel第11代及以上平台处理器酷睿I5处理器；</w:t>
            </w:r>
          </w:p>
          <w:p w14:paraId="230A19EB">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 xml:space="preserve">⑶内存：不低于8G DDR4；硬盘：不低于256G SSD固态硬盘； </w:t>
            </w:r>
          </w:p>
          <w:p w14:paraId="081D78C1">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⑷接口：整机非外扩展具备5个USB接口；具有独立非外扩展的视频输出接口：1路HDMI等。</w:t>
            </w:r>
          </w:p>
          <w:p w14:paraId="2812720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6.保修：整机提供3年质保及免费上门服务。</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2414E735">
            <w:pPr>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18"/>
                <w:szCs w:val="18"/>
                <w:highlight w:val="none"/>
                <w:lang w:val="en-US" w:eastAsia="zh-CN"/>
              </w:rPr>
              <w:t>1</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63FEEAA5">
            <w:pPr>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18"/>
                <w:szCs w:val="18"/>
                <w:highlight w:val="none"/>
                <w:lang w:val="en-US" w:eastAsia="zh-CN"/>
              </w:rPr>
              <w:t>台</w:t>
            </w:r>
          </w:p>
        </w:tc>
        <w:tc>
          <w:tcPr>
            <w:tcW w:w="1357" w:type="dxa"/>
            <w:tcBorders>
              <w:top w:val="single" w:color="000000" w:sz="4" w:space="0"/>
              <w:left w:val="single" w:color="000000" w:sz="4" w:space="0"/>
              <w:bottom w:val="single" w:color="000000" w:sz="4" w:space="0"/>
              <w:right w:val="single" w:color="auto" w:sz="4" w:space="0"/>
            </w:tcBorders>
            <w:noWrap/>
            <w:vAlign w:val="center"/>
          </w:tcPr>
          <w:p w14:paraId="150FB222">
            <w:pPr>
              <w:rPr>
                <w:rFonts w:hint="eastAsia" w:ascii="宋体" w:hAnsi="宋体" w:eastAsia="宋体" w:cs="宋体"/>
                <w:color w:val="auto"/>
                <w:sz w:val="22"/>
                <w:szCs w:val="22"/>
                <w:highlight w:val="none"/>
              </w:rPr>
            </w:pPr>
          </w:p>
        </w:tc>
        <w:tc>
          <w:tcPr>
            <w:tcW w:w="1241" w:type="dxa"/>
            <w:tcBorders>
              <w:top w:val="single" w:color="000000" w:sz="4" w:space="0"/>
              <w:left w:val="single" w:color="auto" w:sz="4" w:space="0"/>
              <w:bottom w:val="single" w:color="auto" w:sz="4" w:space="0"/>
              <w:right w:val="single" w:color="auto" w:sz="4" w:space="0"/>
            </w:tcBorders>
            <w:noWrap/>
            <w:vAlign w:val="center"/>
          </w:tcPr>
          <w:p w14:paraId="2CBED360">
            <w:pPr>
              <w:rPr>
                <w:rFonts w:hint="eastAsia" w:ascii="宋体" w:hAnsi="宋体" w:eastAsia="宋体" w:cs="宋体"/>
                <w:color w:val="auto"/>
                <w:sz w:val="22"/>
                <w:szCs w:val="22"/>
                <w:highlight w:val="none"/>
              </w:rPr>
            </w:pPr>
          </w:p>
        </w:tc>
        <w:tc>
          <w:tcPr>
            <w:tcW w:w="1763" w:type="dxa"/>
            <w:tcBorders>
              <w:top w:val="single" w:color="000000" w:sz="4" w:space="0"/>
              <w:left w:val="single" w:color="auto" w:sz="4" w:space="0"/>
              <w:bottom w:val="single" w:color="auto" w:sz="4" w:space="0"/>
              <w:right w:val="single" w:color="000000" w:sz="4" w:space="0"/>
            </w:tcBorders>
            <w:noWrap/>
            <w:vAlign w:val="center"/>
          </w:tcPr>
          <w:p w14:paraId="5BD384D6">
            <w:pPr>
              <w:rPr>
                <w:rFonts w:hint="eastAsia" w:ascii="宋体" w:hAnsi="宋体" w:eastAsia="宋体" w:cs="宋体"/>
                <w:color w:val="auto"/>
                <w:sz w:val="22"/>
                <w:szCs w:val="22"/>
                <w:highlight w:val="none"/>
              </w:rPr>
            </w:pPr>
          </w:p>
        </w:tc>
      </w:tr>
      <w:tr w14:paraId="481D3D4F">
        <w:tblPrEx>
          <w:tblCellMar>
            <w:top w:w="0" w:type="dxa"/>
            <w:left w:w="108" w:type="dxa"/>
            <w:bottom w:w="0" w:type="dxa"/>
            <w:right w:w="108" w:type="dxa"/>
          </w:tblCellMar>
        </w:tblPrEx>
        <w:trPr>
          <w:trHeight w:val="249" w:hRule="atLeast"/>
          <w:jc w:val="center"/>
        </w:trPr>
        <w:tc>
          <w:tcPr>
            <w:tcW w:w="647" w:type="dxa"/>
            <w:tcBorders>
              <w:top w:val="single" w:color="000000" w:sz="4" w:space="0"/>
              <w:left w:val="single" w:color="000000" w:sz="4" w:space="0"/>
              <w:bottom w:val="single" w:color="000000" w:sz="4" w:space="0"/>
              <w:right w:val="single" w:color="000000" w:sz="4" w:space="0"/>
            </w:tcBorders>
            <w:noWrap/>
            <w:vAlign w:val="center"/>
          </w:tcPr>
          <w:p w14:paraId="68B2C21B">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5</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1ACA9BDA">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电脑桌面开关</w:t>
            </w:r>
          </w:p>
        </w:tc>
        <w:tc>
          <w:tcPr>
            <w:tcW w:w="6480" w:type="dxa"/>
            <w:tcBorders>
              <w:top w:val="single" w:color="000000" w:sz="4" w:space="0"/>
              <w:left w:val="single" w:color="000000" w:sz="4" w:space="0"/>
              <w:bottom w:val="single" w:color="000000" w:sz="4" w:space="0"/>
              <w:right w:val="single" w:color="000000" w:sz="4" w:space="0"/>
            </w:tcBorders>
            <w:noWrap w:val="0"/>
            <w:vAlign w:val="center"/>
          </w:tcPr>
          <w:p w14:paraId="4F88ED89">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5" w:leftChars="0" w:hanging="425"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1.</w:t>
            </w:r>
            <w:r>
              <w:rPr>
                <w:rFonts w:hint="eastAsia" w:ascii="宋体" w:hAnsi="宋体" w:eastAsia="宋体" w:cs="宋体"/>
                <w:color w:val="auto"/>
                <w:sz w:val="18"/>
                <w:szCs w:val="18"/>
                <w:highlight w:val="none"/>
                <w:lang w:val="en-US" w:eastAsia="zh-CN"/>
              </w:rPr>
              <w:t>电源开关：必备功能，用于开启或关闭机箱电源。</w:t>
            </w:r>
          </w:p>
          <w:p w14:paraId="639AD36A">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5" w:leftChars="0" w:hanging="425"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2.</w:t>
            </w:r>
            <w:r>
              <w:rPr>
                <w:rFonts w:hint="eastAsia" w:ascii="宋体" w:hAnsi="宋体" w:eastAsia="宋体" w:cs="宋体"/>
                <w:color w:val="auto"/>
                <w:sz w:val="18"/>
                <w:szCs w:val="18"/>
                <w:highlight w:val="none"/>
                <w:lang w:val="en-US" w:eastAsia="zh-CN"/>
              </w:rPr>
              <w:t>复位开关：大部分机箱具备，用于在系统出现故障时重启电脑。</w:t>
            </w:r>
          </w:p>
          <w:p w14:paraId="6FD87630">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5" w:leftChars="0" w:hanging="425"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3.</w:t>
            </w:r>
            <w:r>
              <w:rPr>
                <w:rFonts w:hint="eastAsia" w:ascii="宋体" w:hAnsi="宋体" w:eastAsia="宋体" w:cs="宋体"/>
                <w:color w:val="auto"/>
                <w:sz w:val="18"/>
                <w:szCs w:val="18"/>
                <w:highlight w:val="none"/>
                <w:lang w:val="en-US" w:eastAsia="zh-CN"/>
              </w:rPr>
              <w:t>电源指示灯：单个 LED 灯，通常为绿色或白色，当指示灯亮起时，表示系统已通电。</w:t>
            </w:r>
          </w:p>
          <w:p w14:paraId="145723E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5" w:leftChars="0" w:hanging="425"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4.</w:t>
            </w:r>
            <w:r>
              <w:rPr>
                <w:rFonts w:hint="eastAsia" w:ascii="宋体" w:hAnsi="宋体" w:eastAsia="宋体" w:cs="宋体"/>
                <w:color w:val="auto"/>
                <w:sz w:val="18"/>
                <w:szCs w:val="18"/>
                <w:highlight w:val="none"/>
                <w:lang w:val="en-US" w:eastAsia="zh-CN"/>
              </w:rPr>
              <w:t>硬盘活动指示灯：单个 LED 灯，通常为红色，当指示灯闪烁时，表示硬盘正在进行读写操作。</w:t>
            </w:r>
          </w:p>
          <w:p w14:paraId="36838799">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5" w:leftChars="0" w:hanging="425"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5.</w:t>
            </w:r>
            <w:r>
              <w:rPr>
                <w:rFonts w:hint="eastAsia" w:ascii="宋体" w:hAnsi="宋体" w:eastAsia="宋体" w:cs="宋体"/>
                <w:color w:val="auto"/>
                <w:sz w:val="18"/>
                <w:szCs w:val="18"/>
                <w:highlight w:val="none"/>
                <w:lang w:val="en-US" w:eastAsia="zh-CN"/>
              </w:rPr>
              <w:t>前置音频接口：采用 3.5mm 规格，包含耳机插孔和麦克风插孔，方便用户连接音频设备。</w:t>
            </w:r>
          </w:p>
          <w:p w14:paraId="2EA30ED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5" w:leftChars="0" w:hanging="425"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6.</w:t>
            </w:r>
            <w:r>
              <w:rPr>
                <w:rFonts w:hint="eastAsia" w:ascii="宋体" w:hAnsi="宋体" w:eastAsia="宋体" w:cs="宋体"/>
                <w:color w:val="auto"/>
                <w:sz w:val="18"/>
                <w:szCs w:val="18"/>
                <w:highlight w:val="none"/>
                <w:lang w:val="en-US" w:eastAsia="zh-CN"/>
              </w:rPr>
              <w:t>前置 USB 接口：</w:t>
            </w:r>
          </w:p>
          <w:p w14:paraId="3F43014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5" w:leftChars="0" w:hanging="425"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USB 2.0 接口：传输速度相对较慢，适用于连接对传输速度要求不高的设备。</w:t>
            </w:r>
          </w:p>
          <w:p w14:paraId="01C5920F">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5" w:leftChars="0" w:hanging="425"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USB 3.0 接口：接口颜色通常为蓝色（Type-A 口），传输速度比 USB 2.0 快。</w:t>
            </w:r>
          </w:p>
          <w:p w14:paraId="03578F90">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5" w:leftChars="0" w:hanging="425"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USB 3.1 / 3.2 Gen 1 / Gen 2 接口：在传输速度上有所提升，满足不同设备的数据传输需求。</w:t>
            </w:r>
          </w:p>
          <w:p w14:paraId="07EC6E48">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5" w:leftChars="0" w:hanging="425"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7.</w:t>
            </w:r>
            <w:r>
              <w:rPr>
                <w:rFonts w:hint="eastAsia" w:ascii="宋体" w:hAnsi="宋体" w:eastAsia="宋体" w:cs="宋体"/>
                <w:color w:val="auto"/>
                <w:sz w:val="18"/>
                <w:szCs w:val="18"/>
                <w:highlight w:val="none"/>
                <w:lang w:val="en-US" w:eastAsia="zh-CN"/>
              </w:rPr>
              <w:t>安装方式通常有两种：</w:t>
            </w:r>
          </w:p>
          <w:p w14:paraId="13A8607C">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5" w:leftChars="0" w:hanging="425"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卡扣式：通过模块自身的卡扣结构，直接卡在机箱前面板的开孔处，安装和拆卸较为便捷。</w:t>
            </w:r>
          </w:p>
          <w:p w14:paraId="54EE12E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螺丝固定：使用螺丝将开关模块固定在机箱前面板上，这种安装方式更为稳固，可有效防止模块松动。</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23F52051">
            <w:pPr>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18"/>
                <w:szCs w:val="18"/>
                <w:highlight w:val="none"/>
                <w:lang w:val="en-US" w:eastAsia="zh-CN"/>
              </w:rPr>
              <w:t>60</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4E2847F0">
            <w:pPr>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18"/>
                <w:szCs w:val="18"/>
                <w:highlight w:val="none"/>
                <w:lang w:val="en-US" w:eastAsia="zh-CN"/>
              </w:rPr>
              <w:t>个</w:t>
            </w:r>
          </w:p>
        </w:tc>
        <w:tc>
          <w:tcPr>
            <w:tcW w:w="1357" w:type="dxa"/>
            <w:tcBorders>
              <w:top w:val="single" w:color="000000" w:sz="4" w:space="0"/>
              <w:left w:val="single" w:color="000000" w:sz="4" w:space="0"/>
              <w:bottom w:val="single" w:color="000000" w:sz="4" w:space="0"/>
              <w:right w:val="single" w:color="auto" w:sz="4" w:space="0"/>
            </w:tcBorders>
            <w:noWrap/>
            <w:vAlign w:val="center"/>
          </w:tcPr>
          <w:p w14:paraId="151A64B8">
            <w:pPr>
              <w:rPr>
                <w:rFonts w:hint="eastAsia" w:ascii="宋体" w:hAnsi="宋体" w:eastAsia="宋体" w:cs="宋体"/>
                <w:color w:val="auto"/>
                <w:sz w:val="22"/>
                <w:szCs w:val="22"/>
                <w:highlight w:val="none"/>
              </w:rPr>
            </w:pPr>
          </w:p>
        </w:tc>
        <w:tc>
          <w:tcPr>
            <w:tcW w:w="1241" w:type="dxa"/>
            <w:tcBorders>
              <w:top w:val="single" w:color="auto" w:sz="4" w:space="0"/>
              <w:left w:val="single" w:color="auto" w:sz="4" w:space="0"/>
              <w:bottom w:val="single" w:color="000000" w:sz="4" w:space="0"/>
              <w:right w:val="single" w:color="auto" w:sz="4" w:space="0"/>
            </w:tcBorders>
            <w:noWrap/>
            <w:vAlign w:val="center"/>
          </w:tcPr>
          <w:p w14:paraId="04705844">
            <w:pPr>
              <w:rPr>
                <w:rFonts w:hint="eastAsia" w:ascii="宋体" w:hAnsi="宋体" w:eastAsia="宋体" w:cs="宋体"/>
                <w:color w:val="auto"/>
                <w:sz w:val="22"/>
                <w:szCs w:val="22"/>
                <w:highlight w:val="none"/>
              </w:rPr>
            </w:pPr>
          </w:p>
        </w:tc>
        <w:tc>
          <w:tcPr>
            <w:tcW w:w="1763" w:type="dxa"/>
            <w:tcBorders>
              <w:top w:val="single" w:color="auto" w:sz="4" w:space="0"/>
              <w:left w:val="single" w:color="auto" w:sz="4" w:space="0"/>
              <w:bottom w:val="single" w:color="000000" w:sz="4" w:space="0"/>
              <w:right w:val="single" w:color="000000" w:sz="4" w:space="0"/>
            </w:tcBorders>
            <w:noWrap/>
            <w:vAlign w:val="center"/>
          </w:tcPr>
          <w:p w14:paraId="299AE2DC">
            <w:pPr>
              <w:rPr>
                <w:rFonts w:hint="eastAsia" w:ascii="宋体" w:hAnsi="宋体" w:eastAsia="宋体" w:cs="宋体"/>
                <w:color w:val="auto"/>
                <w:sz w:val="22"/>
                <w:szCs w:val="22"/>
                <w:highlight w:val="none"/>
              </w:rPr>
            </w:pPr>
          </w:p>
        </w:tc>
      </w:tr>
      <w:tr w14:paraId="31BC614F">
        <w:tblPrEx>
          <w:tblCellMar>
            <w:top w:w="0" w:type="dxa"/>
            <w:left w:w="108" w:type="dxa"/>
            <w:bottom w:w="0" w:type="dxa"/>
            <w:right w:w="108" w:type="dxa"/>
          </w:tblCellMar>
        </w:tblPrEx>
        <w:trPr>
          <w:trHeight w:val="499" w:hRule="atLeast"/>
          <w:jc w:val="center"/>
        </w:trPr>
        <w:tc>
          <w:tcPr>
            <w:tcW w:w="14542" w:type="dxa"/>
            <w:gridSpan w:val="8"/>
            <w:tcBorders>
              <w:top w:val="single" w:color="000000" w:sz="4" w:space="0"/>
              <w:left w:val="single" w:color="000000" w:sz="4" w:space="0"/>
              <w:bottom w:val="single" w:color="000000" w:sz="4" w:space="0"/>
              <w:right w:val="single" w:color="000000" w:sz="4" w:space="0"/>
            </w:tcBorders>
            <w:noWrap/>
            <w:vAlign w:val="center"/>
          </w:tcPr>
          <w:p w14:paraId="2B44CC1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b/>
                <w:bCs/>
                <w:color w:val="auto"/>
                <w:sz w:val="21"/>
                <w:szCs w:val="21"/>
                <w:highlight w:val="none"/>
                <w:lang w:val="en-US" w:eastAsia="zh-CN"/>
              </w:rPr>
              <w:t>（二）实训室配套清单</w:t>
            </w:r>
          </w:p>
        </w:tc>
      </w:tr>
      <w:tr w14:paraId="6B33C15A">
        <w:tblPrEx>
          <w:tblCellMar>
            <w:top w:w="0" w:type="dxa"/>
            <w:left w:w="108" w:type="dxa"/>
            <w:bottom w:w="0" w:type="dxa"/>
            <w:right w:w="108" w:type="dxa"/>
          </w:tblCellMar>
        </w:tblPrEx>
        <w:trPr>
          <w:trHeight w:val="499" w:hRule="atLeast"/>
          <w:jc w:val="center"/>
        </w:trPr>
        <w:tc>
          <w:tcPr>
            <w:tcW w:w="647" w:type="dxa"/>
            <w:tcBorders>
              <w:top w:val="single" w:color="000000" w:sz="4" w:space="0"/>
              <w:left w:val="single" w:color="000000" w:sz="4" w:space="0"/>
              <w:bottom w:val="single" w:color="000000" w:sz="4" w:space="0"/>
              <w:right w:val="single" w:color="000000" w:sz="4" w:space="0"/>
            </w:tcBorders>
            <w:noWrap/>
            <w:vAlign w:val="center"/>
          </w:tcPr>
          <w:p w14:paraId="76210E30">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21646986">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安装施工</w:t>
            </w:r>
          </w:p>
        </w:tc>
        <w:tc>
          <w:tcPr>
            <w:tcW w:w="6480" w:type="dxa"/>
            <w:tcBorders>
              <w:top w:val="single" w:color="000000" w:sz="4" w:space="0"/>
              <w:left w:val="single" w:color="000000" w:sz="4" w:space="0"/>
              <w:bottom w:val="single" w:color="000000" w:sz="4" w:space="0"/>
              <w:right w:val="single" w:color="000000" w:sz="4" w:space="0"/>
            </w:tcBorders>
            <w:noWrap w:val="0"/>
            <w:vAlign w:val="center"/>
          </w:tcPr>
          <w:p w14:paraId="1C54B637">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1.</w:t>
            </w:r>
            <w:r>
              <w:rPr>
                <w:rFonts w:hint="eastAsia" w:ascii="宋体" w:hAnsi="宋体" w:eastAsia="宋体" w:cs="宋体"/>
                <w:color w:val="auto"/>
                <w:sz w:val="18"/>
                <w:szCs w:val="18"/>
                <w:highlight w:val="none"/>
                <w:lang w:val="en-US" w:eastAsia="zh-CN"/>
              </w:rPr>
              <w:t>包含Aol电箱移位改造、4㎡电线、超五类网线、8芯光缆、满配终端盒、熔接、跳纤。</w:t>
            </w:r>
          </w:p>
          <w:p w14:paraId="170E960A">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2.</w:t>
            </w:r>
            <w:r>
              <w:rPr>
                <w:rFonts w:hint="eastAsia" w:ascii="宋体" w:hAnsi="宋体" w:eastAsia="宋体" w:cs="宋体"/>
                <w:color w:val="auto"/>
                <w:sz w:val="18"/>
                <w:szCs w:val="18"/>
                <w:highlight w:val="none"/>
                <w:lang w:val="en-US" w:eastAsia="zh-CN"/>
              </w:rPr>
              <w:t>打墙（隔壁房间打通），拆除墙面以及除渣，打墙面积约30平（实际以测量为准）。</w:t>
            </w:r>
          </w:p>
          <w:p w14:paraId="3746EB58">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3.</w:t>
            </w:r>
            <w:r>
              <w:rPr>
                <w:rFonts w:hint="eastAsia" w:ascii="宋体" w:hAnsi="宋体" w:eastAsia="宋体" w:cs="宋体"/>
                <w:color w:val="auto"/>
                <w:sz w:val="18"/>
                <w:szCs w:val="18"/>
                <w:highlight w:val="none"/>
                <w:lang w:val="en-US" w:eastAsia="zh-CN"/>
              </w:rPr>
              <w:t>墙面处理（刮白粉刷处理）、PVC管材以及相应辅材。</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1755C878">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67FE5B84">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间</w:t>
            </w:r>
          </w:p>
        </w:tc>
        <w:tc>
          <w:tcPr>
            <w:tcW w:w="1357" w:type="dxa"/>
            <w:tcBorders>
              <w:top w:val="single" w:color="000000" w:sz="4" w:space="0"/>
              <w:left w:val="single" w:color="000000" w:sz="4" w:space="0"/>
              <w:bottom w:val="single" w:color="000000" w:sz="4" w:space="0"/>
              <w:right w:val="single" w:color="auto" w:sz="4" w:space="0"/>
            </w:tcBorders>
            <w:noWrap/>
            <w:vAlign w:val="center"/>
          </w:tcPr>
          <w:p w14:paraId="43F723A4">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rPr>
            </w:pPr>
          </w:p>
        </w:tc>
        <w:tc>
          <w:tcPr>
            <w:tcW w:w="1241" w:type="dxa"/>
            <w:tcBorders>
              <w:top w:val="single" w:color="000000" w:sz="4" w:space="0"/>
              <w:left w:val="single" w:color="auto" w:sz="4" w:space="0"/>
              <w:bottom w:val="single" w:color="000000" w:sz="4" w:space="0"/>
              <w:right w:val="single" w:color="auto" w:sz="4" w:space="0"/>
            </w:tcBorders>
            <w:noWrap/>
            <w:vAlign w:val="center"/>
          </w:tcPr>
          <w:p w14:paraId="4B0A3491">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rPr>
            </w:pPr>
          </w:p>
        </w:tc>
        <w:tc>
          <w:tcPr>
            <w:tcW w:w="1763" w:type="dxa"/>
            <w:tcBorders>
              <w:top w:val="single" w:color="000000" w:sz="4" w:space="0"/>
              <w:left w:val="single" w:color="auto" w:sz="4" w:space="0"/>
              <w:bottom w:val="single" w:color="000000" w:sz="4" w:space="0"/>
              <w:right w:val="single" w:color="000000" w:sz="4" w:space="0"/>
            </w:tcBorders>
            <w:noWrap/>
            <w:vAlign w:val="center"/>
          </w:tcPr>
          <w:p w14:paraId="47069FCD">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rPr>
            </w:pPr>
          </w:p>
        </w:tc>
      </w:tr>
      <w:tr w14:paraId="6254A65A">
        <w:tblPrEx>
          <w:tblCellMar>
            <w:top w:w="0" w:type="dxa"/>
            <w:left w:w="108" w:type="dxa"/>
            <w:bottom w:w="0" w:type="dxa"/>
            <w:right w:w="108" w:type="dxa"/>
          </w:tblCellMar>
        </w:tblPrEx>
        <w:trPr>
          <w:trHeight w:val="499" w:hRule="atLeast"/>
          <w:jc w:val="center"/>
        </w:trPr>
        <w:tc>
          <w:tcPr>
            <w:tcW w:w="647" w:type="dxa"/>
            <w:tcBorders>
              <w:top w:val="single" w:color="000000" w:sz="4" w:space="0"/>
              <w:left w:val="single" w:color="000000" w:sz="4" w:space="0"/>
              <w:bottom w:val="single" w:color="000000" w:sz="4" w:space="0"/>
              <w:right w:val="single" w:color="000000" w:sz="4" w:space="0"/>
            </w:tcBorders>
            <w:noWrap/>
            <w:vAlign w:val="center"/>
          </w:tcPr>
          <w:p w14:paraId="707458D8">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5A8A9313">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综合布线以及安装调试</w:t>
            </w:r>
          </w:p>
        </w:tc>
        <w:tc>
          <w:tcPr>
            <w:tcW w:w="6480" w:type="dxa"/>
            <w:tcBorders>
              <w:top w:val="single" w:color="000000" w:sz="4" w:space="0"/>
              <w:left w:val="single" w:color="000000" w:sz="4" w:space="0"/>
              <w:bottom w:val="single" w:color="000000" w:sz="4" w:space="0"/>
              <w:right w:val="single" w:color="000000" w:sz="4" w:space="0"/>
            </w:tcBorders>
            <w:noWrap w:val="0"/>
            <w:vAlign w:val="center"/>
          </w:tcPr>
          <w:p w14:paraId="18D989F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所需的2.5㎡、4㎡强电线缆，六类网线弱电线缆以及相应的公牛排插等辅材，搬运安装调试</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016643B9">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744BD386">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批</w:t>
            </w:r>
          </w:p>
        </w:tc>
        <w:tc>
          <w:tcPr>
            <w:tcW w:w="1357" w:type="dxa"/>
            <w:tcBorders>
              <w:top w:val="single" w:color="000000" w:sz="4" w:space="0"/>
              <w:left w:val="single" w:color="000000" w:sz="4" w:space="0"/>
              <w:bottom w:val="single" w:color="000000" w:sz="4" w:space="0"/>
              <w:right w:val="single" w:color="auto" w:sz="4" w:space="0"/>
            </w:tcBorders>
            <w:noWrap/>
            <w:vAlign w:val="center"/>
          </w:tcPr>
          <w:p w14:paraId="0F54FADA">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rPr>
            </w:pPr>
          </w:p>
        </w:tc>
        <w:tc>
          <w:tcPr>
            <w:tcW w:w="1241" w:type="dxa"/>
            <w:tcBorders>
              <w:top w:val="single" w:color="000000" w:sz="4" w:space="0"/>
              <w:left w:val="single" w:color="auto" w:sz="4" w:space="0"/>
              <w:bottom w:val="single" w:color="000000" w:sz="4" w:space="0"/>
              <w:right w:val="single" w:color="auto" w:sz="4" w:space="0"/>
            </w:tcBorders>
            <w:noWrap/>
            <w:vAlign w:val="center"/>
          </w:tcPr>
          <w:p w14:paraId="5C7709CF">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rPr>
            </w:pPr>
          </w:p>
        </w:tc>
        <w:tc>
          <w:tcPr>
            <w:tcW w:w="1763" w:type="dxa"/>
            <w:tcBorders>
              <w:top w:val="single" w:color="000000" w:sz="4" w:space="0"/>
              <w:left w:val="single" w:color="auto" w:sz="4" w:space="0"/>
              <w:bottom w:val="single" w:color="000000" w:sz="4" w:space="0"/>
              <w:right w:val="single" w:color="000000" w:sz="4" w:space="0"/>
            </w:tcBorders>
            <w:noWrap/>
            <w:vAlign w:val="center"/>
          </w:tcPr>
          <w:p w14:paraId="409EF695">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rPr>
            </w:pPr>
          </w:p>
        </w:tc>
      </w:tr>
      <w:tr w14:paraId="04AD506B">
        <w:tblPrEx>
          <w:tblCellMar>
            <w:top w:w="0" w:type="dxa"/>
            <w:left w:w="108" w:type="dxa"/>
            <w:bottom w:w="0" w:type="dxa"/>
            <w:right w:w="108" w:type="dxa"/>
          </w:tblCellMar>
        </w:tblPrEx>
        <w:trPr>
          <w:trHeight w:val="499" w:hRule="atLeast"/>
          <w:jc w:val="center"/>
        </w:trPr>
        <w:tc>
          <w:tcPr>
            <w:tcW w:w="647" w:type="dxa"/>
            <w:tcBorders>
              <w:top w:val="single" w:color="000000" w:sz="4" w:space="0"/>
              <w:left w:val="single" w:color="000000" w:sz="4" w:space="0"/>
              <w:bottom w:val="single" w:color="000000" w:sz="4" w:space="0"/>
              <w:right w:val="single" w:color="000000" w:sz="4" w:space="0"/>
            </w:tcBorders>
            <w:noWrap/>
            <w:vAlign w:val="center"/>
          </w:tcPr>
          <w:p w14:paraId="1C75B641">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33A43129">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机柜</w:t>
            </w:r>
          </w:p>
        </w:tc>
        <w:tc>
          <w:tcPr>
            <w:tcW w:w="6480" w:type="dxa"/>
            <w:tcBorders>
              <w:top w:val="single" w:color="000000" w:sz="4" w:space="0"/>
              <w:left w:val="single" w:color="000000" w:sz="4" w:space="0"/>
              <w:bottom w:val="single" w:color="000000" w:sz="4" w:space="0"/>
              <w:right w:val="single" w:color="000000" w:sz="4" w:space="0"/>
            </w:tcBorders>
            <w:noWrap w:val="0"/>
            <w:vAlign w:val="center"/>
          </w:tcPr>
          <w:p w14:paraId="404205F1">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1、参数要求</w:t>
            </w:r>
            <w:r>
              <w:rPr>
                <w:rFonts w:hint="eastAsia" w:ascii="宋体" w:hAnsi="宋体" w:eastAsia="宋体" w:cs="宋体"/>
                <w:b w:val="0"/>
                <w:bCs w:val="0"/>
                <w:color w:val="auto"/>
                <w:sz w:val="18"/>
                <w:szCs w:val="18"/>
                <w:highlight w:val="none"/>
                <w:lang w:val="en-US" w:eastAsia="zh-CN"/>
              </w:rPr>
              <w:t>≥</w:t>
            </w:r>
            <w:r>
              <w:rPr>
                <w:rFonts w:hint="eastAsia" w:ascii="宋体" w:hAnsi="宋体" w:eastAsia="宋体" w:cs="宋体"/>
                <w:color w:val="auto"/>
                <w:kern w:val="0"/>
                <w:sz w:val="18"/>
                <w:szCs w:val="18"/>
                <w:highlight w:val="none"/>
                <w:lang w:val="en-US" w:eastAsia="zh-CN" w:bidi="ar"/>
              </w:rPr>
              <w:t>600*800*1200mm，整体框架结构，材料：框架: SPCC优质冷轧钢板；厚度：方孔条</w:t>
            </w:r>
            <w:r>
              <w:rPr>
                <w:rFonts w:hint="eastAsia" w:ascii="宋体" w:hAnsi="宋体" w:eastAsia="宋体" w:cs="宋体"/>
                <w:b w:val="0"/>
                <w:bCs w:val="0"/>
                <w:color w:val="auto"/>
                <w:sz w:val="18"/>
                <w:szCs w:val="18"/>
                <w:highlight w:val="none"/>
                <w:lang w:val="en-US" w:eastAsia="zh-CN"/>
              </w:rPr>
              <w:t>≥</w:t>
            </w:r>
            <w:r>
              <w:rPr>
                <w:rFonts w:hint="eastAsia" w:ascii="宋体" w:hAnsi="宋体" w:eastAsia="宋体" w:cs="宋体"/>
                <w:color w:val="auto"/>
                <w:kern w:val="0"/>
                <w:sz w:val="18"/>
                <w:szCs w:val="18"/>
                <w:highlight w:val="none"/>
                <w:lang w:val="en-US" w:eastAsia="zh-CN" w:bidi="ar"/>
              </w:rPr>
              <w:t>2.0mm，安装梁</w:t>
            </w:r>
            <w:r>
              <w:rPr>
                <w:rFonts w:hint="eastAsia" w:ascii="宋体" w:hAnsi="宋体" w:eastAsia="宋体" w:cs="宋体"/>
                <w:b w:val="0"/>
                <w:bCs w:val="0"/>
                <w:color w:val="auto"/>
                <w:sz w:val="18"/>
                <w:szCs w:val="18"/>
                <w:highlight w:val="none"/>
                <w:lang w:val="en-US" w:eastAsia="zh-CN"/>
              </w:rPr>
              <w:t>≥</w:t>
            </w:r>
            <w:r>
              <w:rPr>
                <w:rFonts w:hint="eastAsia" w:ascii="宋体" w:hAnsi="宋体" w:eastAsia="宋体" w:cs="宋体"/>
                <w:color w:val="auto"/>
                <w:kern w:val="0"/>
                <w:sz w:val="18"/>
                <w:szCs w:val="18"/>
                <w:highlight w:val="none"/>
                <w:lang w:val="en-US" w:eastAsia="zh-CN" w:bidi="ar"/>
              </w:rPr>
              <w:t>1.2mm，侧门</w:t>
            </w:r>
            <w:r>
              <w:rPr>
                <w:rFonts w:hint="eastAsia" w:ascii="宋体" w:hAnsi="宋体" w:eastAsia="宋体" w:cs="宋体"/>
                <w:b w:val="0"/>
                <w:bCs w:val="0"/>
                <w:color w:val="auto"/>
                <w:sz w:val="18"/>
                <w:szCs w:val="18"/>
                <w:highlight w:val="none"/>
                <w:lang w:val="en-US" w:eastAsia="zh-CN"/>
              </w:rPr>
              <w:t>≥</w:t>
            </w:r>
            <w:r>
              <w:rPr>
                <w:rFonts w:hint="eastAsia" w:ascii="宋体" w:hAnsi="宋体" w:eastAsia="宋体" w:cs="宋体"/>
                <w:color w:val="auto"/>
                <w:kern w:val="0"/>
                <w:sz w:val="18"/>
                <w:szCs w:val="18"/>
                <w:highlight w:val="none"/>
                <w:lang w:val="en-US" w:eastAsia="zh-CN" w:bidi="ar"/>
              </w:rPr>
              <w:t>1.0mm，其它</w:t>
            </w:r>
            <w:r>
              <w:rPr>
                <w:rFonts w:hint="eastAsia" w:ascii="宋体" w:hAnsi="宋体" w:eastAsia="宋体" w:cs="宋体"/>
                <w:b w:val="0"/>
                <w:bCs w:val="0"/>
                <w:color w:val="auto"/>
                <w:sz w:val="18"/>
                <w:szCs w:val="18"/>
                <w:highlight w:val="none"/>
                <w:lang w:val="en-US" w:eastAsia="zh-CN"/>
              </w:rPr>
              <w:t>≥</w:t>
            </w:r>
            <w:r>
              <w:rPr>
                <w:rFonts w:hint="eastAsia" w:ascii="宋体" w:hAnsi="宋体" w:eastAsia="宋体" w:cs="宋体"/>
                <w:color w:val="auto"/>
                <w:kern w:val="0"/>
                <w:sz w:val="18"/>
                <w:szCs w:val="18"/>
                <w:highlight w:val="none"/>
                <w:lang w:val="en-US" w:eastAsia="zh-CN" w:bidi="ar"/>
              </w:rPr>
              <w:t>1.2mm；高级旋把门锁。承重</w:t>
            </w:r>
            <w:r>
              <w:rPr>
                <w:rFonts w:hint="eastAsia" w:ascii="宋体" w:hAnsi="宋体" w:eastAsia="宋体" w:cs="宋体"/>
                <w:b w:val="0"/>
                <w:bCs w:val="0"/>
                <w:color w:val="auto"/>
                <w:sz w:val="18"/>
                <w:szCs w:val="18"/>
                <w:highlight w:val="none"/>
                <w:lang w:val="en-US" w:eastAsia="zh-CN"/>
              </w:rPr>
              <w:t>≥</w:t>
            </w:r>
            <w:r>
              <w:rPr>
                <w:rFonts w:hint="eastAsia" w:ascii="宋体" w:hAnsi="宋体" w:eastAsia="宋体" w:cs="宋体"/>
                <w:color w:val="auto"/>
                <w:kern w:val="0"/>
                <w:sz w:val="18"/>
                <w:szCs w:val="18"/>
                <w:highlight w:val="none"/>
                <w:lang w:val="en-US" w:eastAsia="zh-CN" w:bidi="ar"/>
              </w:rPr>
              <w:t>800kg.整体机架，前后网孔门，机柜顶部四个全静音风扇，保证内部良好通风及散热，封闭式电缆管理，电缆从顶部或底部进入；侧门可拆卸。在前后门安装6个缓冲垫，有明显的提示标签，机柜带有独立防静电接地系统系统，安装立柱可调整，可提供机柜并柜件。</w:t>
            </w:r>
          </w:p>
          <w:p w14:paraId="06B768DD">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2、配件：一个10A6位PDU电源，3个层板，4个风扇，40套M6卡扣安装螺丝，地脚螺钉4颗。</w:t>
            </w:r>
          </w:p>
          <w:p w14:paraId="0C70401E">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0"/>
                <w:sz w:val="18"/>
                <w:szCs w:val="18"/>
                <w:highlight w:val="none"/>
                <w:lang w:val="en-US" w:eastAsia="zh-CN" w:bidi="ar"/>
              </w:rPr>
              <w:t>3、质量保障：制造商通过国际质量体系ISO9000、CE、ROHS等认证。</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775A5808">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2303102A">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个</w:t>
            </w:r>
          </w:p>
        </w:tc>
        <w:tc>
          <w:tcPr>
            <w:tcW w:w="1357" w:type="dxa"/>
            <w:tcBorders>
              <w:top w:val="single" w:color="000000" w:sz="4" w:space="0"/>
              <w:left w:val="single" w:color="000000" w:sz="4" w:space="0"/>
              <w:bottom w:val="single" w:color="000000" w:sz="4" w:space="0"/>
              <w:right w:val="single" w:color="auto" w:sz="4" w:space="0"/>
            </w:tcBorders>
            <w:noWrap/>
            <w:vAlign w:val="center"/>
          </w:tcPr>
          <w:p w14:paraId="04B15E6D">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rPr>
            </w:pPr>
          </w:p>
        </w:tc>
        <w:tc>
          <w:tcPr>
            <w:tcW w:w="1241" w:type="dxa"/>
            <w:tcBorders>
              <w:top w:val="single" w:color="000000" w:sz="4" w:space="0"/>
              <w:left w:val="single" w:color="auto" w:sz="4" w:space="0"/>
              <w:bottom w:val="single" w:color="000000" w:sz="4" w:space="0"/>
              <w:right w:val="single" w:color="auto" w:sz="4" w:space="0"/>
            </w:tcBorders>
            <w:noWrap/>
            <w:vAlign w:val="center"/>
          </w:tcPr>
          <w:p w14:paraId="19978DEF">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rPr>
            </w:pPr>
          </w:p>
        </w:tc>
        <w:tc>
          <w:tcPr>
            <w:tcW w:w="1763" w:type="dxa"/>
            <w:tcBorders>
              <w:top w:val="single" w:color="000000" w:sz="4" w:space="0"/>
              <w:left w:val="single" w:color="auto" w:sz="4" w:space="0"/>
              <w:bottom w:val="single" w:color="000000" w:sz="4" w:space="0"/>
              <w:right w:val="single" w:color="000000" w:sz="4" w:space="0"/>
            </w:tcBorders>
            <w:noWrap/>
            <w:vAlign w:val="center"/>
          </w:tcPr>
          <w:p w14:paraId="5DFD0A97">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rPr>
            </w:pPr>
          </w:p>
        </w:tc>
      </w:tr>
      <w:tr w14:paraId="16063AD5">
        <w:tblPrEx>
          <w:tblCellMar>
            <w:top w:w="0" w:type="dxa"/>
            <w:left w:w="108" w:type="dxa"/>
            <w:bottom w:w="0" w:type="dxa"/>
            <w:right w:w="108" w:type="dxa"/>
          </w:tblCellMar>
        </w:tblPrEx>
        <w:trPr>
          <w:trHeight w:val="499" w:hRule="atLeast"/>
          <w:jc w:val="center"/>
        </w:trPr>
        <w:tc>
          <w:tcPr>
            <w:tcW w:w="647" w:type="dxa"/>
            <w:tcBorders>
              <w:top w:val="single" w:color="000000" w:sz="4" w:space="0"/>
              <w:left w:val="single" w:color="000000" w:sz="4" w:space="0"/>
              <w:bottom w:val="single" w:color="000000" w:sz="4" w:space="0"/>
              <w:right w:val="single" w:color="000000" w:sz="4" w:space="0"/>
            </w:tcBorders>
            <w:noWrap/>
            <w:vAlign w:val="center"/>
          </w:tcPr>
          <w:p w14:paraId="054ADF5E">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6C2FAE78">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电脑桌</w:t>
            </w:r>
          </w:p>
        </w:tc>
        <w:tc>
          <w:tcPr>
            <w:tcW w:w="6480" w:type="dxa"/>
            <w:tcBorders>
              <w:top w:val="single" w:color="000000" w:sz="4" w:space="0"/>
              <w:left w:val="single" w:color="000000" w:sz="4" w:space="0"/>
              <w:bottom w:val="single" w:color="000000" w:sz="4" w:space="0"/>
              <w:right w:val="single" w:color="000000" w:sz="4" w:space="0"/>
            </w:tcBorders>
            <w:noWrap w:val="0"/>
            <w:vAlign w:val="center"/>
          </w:tcPr>
          <w:p w14:paraId="28B7083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1.钢木组合结构，桌面采用</w:t>
            </w:r>
            <w:r>
              <w:rPr>
                <w:rFonts w:hint="eastAsia" w:ascii="宋体" w:hAnsi="宋体" w:eastAsia="宋体" w:cs="宋体"/>
                <w:b w:val="0"/>
                <w:bCs w:val="0"/>
                <w:color w:val="auto"/>
                <w:sz w:val="18"/>
                <w:szCs w:val="18"/>
                <w:highlight w:val="none"/>
                <w:lang w:val="en-US" w:eastAsia="zh-CN"/>
              </w:rPr>
              <w:t>≥</w:t>
            </w:r>
            <w:r>
              <w:rPr>
                <w:rFonts w:hint="eastAsia" w:ascii="宋体" w:hAnsi="宋体" w:eastAsia="宋体" w:cs="宋体"/>
                <w:color w:val="auto"/>
                <w:sz w:val="18"/>
                <w:szCs w:val="18"/>
                <w:highlight w:val="none"/>
                <w:lang w:val="en-US" w:eastAsia="zh-CN"/>
              </w:rPr>
              <w:t>25mm厚压缩多层实木板外贴防火板，带穿线孔。</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2.钢材部分采用</w:t>
            </w:r>
            <w:r>
              <w:rPr>
                <w:rFonts w:hint="eastAsia" w:ascii="宋体" w:hAnsi="宋体" w:eastAsia="宋体" w:cs="宋体"/>
                <w:b w:val="0"/>
                <w:bCs w:val="0"/>
                <w:color w:val="auto"/>
                <w:sz w:val="18"/>
                <w:szCs w:val="18"/>
                <w:highlight w:val="none"/>
                <w:lang w:val="en-US" w:eastAsia="zh-CN"/>
              </w:rPr>
              <w:t>≥</w:t>
            </w:r>
            <w:r>
              <w:rPr>
                <w:rFonts w:hint="eastAsia" w:ascii="宋体" w:hAnsi="宋体" w:eastAsia="宋体" w:cs="宋体"/>
                <w:color w:val="auto"/>
                <w:sz w:val="18"/>
                <w:szCs w:val="18"/>
                <w:highlight w:val="none"/>
                <w:lang w:val="en-US" w:eastAsia="zh-CN"/>
              </w:rPr>
              <w:t>1.2mm扁钢管，经数控弯管机握弯成型m冷轧钢板制作并布局散热孔。</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3.所有基材均耐酸碱、防虫、防腐等特出处理。</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4.封边严密、平整、与整块板材严丝合缝。</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5.规格</w:t>
            </w:r>
            <w:r>
              <w:rPr>
                <w:rFonts w:hint="eastAsia" w:ascii="宋体" w:hAnsi="宋体" w:eastAsia="宋体" w:cs="宋体"/>
                <w:b w:val="0"/>
                <w:bCs w:val="0"/>
                <w:color w:val="auto"/>
                <w:sz w:val="18"/>
                <w:szCs w:val="18"/>
                <w:highlight w:val="none"/>
                <w:lang w:val="en-US" w:eastAsia="zh-CN"/>
              </w:rPr>
              <w:t>≥</w:t>
            </w:r>
            <w:r>
              <w:rPr>
                <w:rFonts w:hint="eastAsia" w:ascii="宋体" w:hAnsi="宋体" w:eastAsia="宋体" w:cs="宋体"/>
                <w:color w:val="auto"/>
                <w:sz w:val="18"/>
                <w:szCs w:val="18"/>
                <w:highlight w:val="none"/>
                <w:lang w:val="en-US" w:eastAsia="zh-CN"/>
              </w:rPr>
              <w:t>1400*550*750</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16E041D8">
            <w:pPr>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bidi="ar"/>
              </w:rPr>
              <w:t>30</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398BB7C9">
            <w:pPr>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bidi="ar"/>
              </w:rPr>
              <w:t>张</w:t>
            </w:r>
          </w:p>
        </w:tc>
        <w:tc>
          <w:tcPr>
            <w:tcW w:w="1357" w:type="dxa"/>
            <w:tcBorders>
              <w:top w:val="single" w:color="000000" w:sz="4" w:space="0"/>
              <w:left w:val="single" w:color="000000" w:sz="4" w:space="0"/>
              <w:bottom w:val="single" w:color="000000" w:sz="4" w:space="0"/>
              <w:right w:val="single" w:color="auto" w:sz="4" w:space="0"/>
            </w:tcBorders>
            <w:noWrap/>
            <w:vAlign w:val="center"/>
          </w:tcPr>
          <w:p w14:paraId="18723554">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p>
        </w:tc>
        <w:tc>
          <w:tcPr>
            <w:tcW w:w="1241" w:type="dxa"/>
            <w:tcBorders>
              <w:top w:val="single" w:color="000000" w:sz="4" w:space="0"/>
              <w:left w:val="single" w:color="auto" w:sz="4" w:space="0"/>
              <w:bottom w:val="single" w:color="000000" w:sz="4" w:space="0"/>
              <w:right w:val="single" w:color="auto" w:sz="4" w:space="0"/>
            </w:tcBorders>
            <w:noWrap/>
            <w:vAlign w:val="center"/>
          </w:tcPr>
          <w:p w14:paraId="77821BF9">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p>
        </w:tc>
        <w:tc>
          <w:tcPr>
            <w:tcW w:w="1763" w:type="dxa"/>
            <w:tcBorders>
              <w:top w:val="single" w:color="000000" w:sz="4" w:space="0"/>
              <w:left w:val="single" w:color="auto" w:sz="4" w:space="0"/>
              <w:bottom w:val="single" w:color="000000" w:sz="4" w:space="0"/>
              <w:right w:val="single" w:color="000000" w:sz="4" w:space="0"/>
            </w:tcBorders>
            <w:noWrap/>
            <w:vAlign w:val="center"/>
          </w:tcPr>
          <w:p w14:paraId="3A2F4E14">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highlight w:val="none"/>
              </w:rPr>
              <w:drawing>
                <wp:anchor distT="0" distB="0" distL="114300" distR="114300" simplePos="0" relativeHeight="251675648" behindDoc="1" locked="0" layoutInCell="1" allowOverlap="1">
                  <wp:simplePos x="0" y="0"/>
                  <wp:positionH relativeFrom="column">
                    <wp:posOffset>-52705</wp:posOffset>
                  </wp:positionH>
                  <wp:positionV relativeFrom="paragraph">
                    <wp:posOffset>17780</wp:posOffset>
                  </wp:positionV>
                  <wp:extent cx="1179830" cy="1139825"/>
                  <wp:effectExtent l="0" t="0" r="1270" b="3175"/>
                  <wp:wrapTight wrapText="bothSides">
                    <wp:wrapPolygon>
                      <wp:start x="0" y="0"/>
                      <wp:lineTo x="0" y="21299"/>
                      <wp:lineTo x="21274" y="21299"/>
                      <wp:lineTo x="21274" y="0"/>
                      <wp:lineTo x="0" y="0"/>
                    </wp:wrapPolygon>
                  </wp:wrapTight>
                  <wp:docPr id="1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
                          <pic:cNvPicPr>
                            <a:picLocks noChangeAspect="1"/>
                          </pic:cNvPicPr>
                        </pic:nvPicPr>
                        <pic:blipFill>
                          <a:blip r:embed="rId41"/>
                          <a:stretch>
                            <a:fillRect/>
                          </a:stretch>
                        </pic:blipFill>
                        <pic:spPr>
                          <a:xfrm>
                            <a:off x="0" y="0"/>
                            <a:ext cx="1179830" cy="1139825"/>
                          </a:xfrm>
                          <a:prstGeom prst="rect">
                            <a:avLst/>
                          </a:prstGeom>
                          <a:noFill/>
                          <a:ln>
                            <a:noFill/>
                          </a:ln>
                        </pic:spPr>
                      </pic:pic>
                    </a:graphicData>
                  </a:graphic>
                </wp:anchor>
              </w:drawing>
            </w:r>
          </w:p>
        </w:tc>
      </w:tr>
      <w:tr w14:paraId="5DB92786">
        <w:tblPrEx>
          <w:tblCellMar>
            <w:top w:w="0" w:type="dxa"/>
            <w:left w:w="108" w:type="dxa"/>
            <w:bottom w:w="0" w:type="dxa"/>
            <w:right w:w="108" w:type="dxa"/>
          </w:tblCellMar>
        </w:tblPrEx>
        <w:trPr>
          <w:trHeight w:val="499" w:hRule="atLeast"/>
          <w:jc w:val="center"/>
        </w:trPr>
        <w:tc>
          <w:tcPr>
            <w:tcW w:w="647" w:type="dxa"/>
            <w:tcBorders>
              <w:top w:val="single" w:color="000000" w:sz="4" w:space="0"/>
              <w:left w:val="single" w:color="000000" w:sz="4" w:space="0"/>
              <w:bottom w:val="single" w:color="000000" w:sz="4" w:space="0"/>
              <w:right w:val="single" w:color="000000" w:sz="4" w:space="0"/>
            </w:tcBorders>
            <w:noWrap/>
            <w:vAlign w:val="center"/>
          </w:tcPr>
          <w:p w14:paraId="4CF82B8B">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5</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08E493A9">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电脑椅</w:t>
            </w:r>
          </w:p>
        </w:tc>
        <w:tc>
          <w:tcPr>
            <w:tcW w:w="6480" w:type="dxa"/>
            <w:tcBorders>
              <w:top w:val="single" w:color="000000" w:sz="4" w:space="0"/>
              <w:left w:val="single" w:color="000000" w:sz="4" w:space="0"/>
              <w:bottom w:val="single" w:color="000000" w:sz="4" w:space="0"/>
              <w:right w:val="single" w:color="000000" w:sz="4" w:space="0"/>
            </w:tcBorders>
            <w:noWrap w:val="0"/>
            <w:vAlign w:val="center"/>
          </w:tcPr>
          <w:p w14:paraId="47BF29F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1.钢木组合结构，桌面采用</w:t>
            </w:r>
            <w:r>
              <w:rPr>
                <w:rFonts w:hint="eastAsia" w:ascii="宋体" w:hAnsi="宋体" w:eastAsia="宋体" w:cs="宋体"/>
                <w:b w:val="0"/>
                <w:bCs w:val="0"/>
                <w:color w:val="auto"/>
                <w:sz w:val="18"/>
                <w:szCs w:val="18"/>
                <w:highlight w:val="none"/>
                <w:lang w:val="en-US" w:eastAsia="zh-CN"/>
              </w:rPr>
              <w:t>≥</w:t>
            </w:r>
            <w:r>
              <w:rPr>
                <w:rFonts w:hint="eastAsia" w:ascii="宋体" w:hAnsi="宋体" w:eastAsia="宋体" w:cs="宋体"/>
                <w:color w:val="auto"/>
                <w:sz w:val="18"/>
                <w:szCs w:val="18"/>
                <w:highlight w:val="none"/>
                <w:lang w:val="en-US" w:eastAsia="zh-CN"/>
              </w:rPr>
              <w:t>25mm厚压缩多层实木板外贴防火板，带穿线孔。</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2.钢材部分采用</w:t>
            </w:r>
            <w:r>
              <w:rPr>
                <w:rFonts w:hint="eastAsia" w:ascii="宋体" w:hAnsi="宋体" w:eastAsia="宋体" w:cs="宋体"/>
                <w:b w:val="0"/>
                <w:bCs w:val="0"/>
                <w:color w:val="auto"/>
                <w:sz w:val="18"/>
                <w:szCs w:val="18"/>
                <w:highlight w:val="none"/>
                <w:lang w:val="en-US" w:eastAsia="zh-CN"/>
              </w:rPr>
              <w:t>≥</w:t>
            </w:r>
            <w:r>
              <w:rPr>
                <w:rFonts w:hint="eastAsia" w:ascii="宋体" w:hAnsi="宋体" w:eastAsia="宋体" w:cs="宋体"/>
                <w:color w:val="auto"/>
                <w:sz w:val="18"/>
                <w:szCs w:val="18"/>
                <w:highlight w:val="none"/>
                <w:lang w:val="en-US" w:eastAsia="zh-CN"/>
              </w:rPr>
              <w:t>1.2mm扁钢管，经数控弯管机握弯成型m冷轧钢板制作并布局散热孔。</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3.所有基材均耐酸碱、防虫、防腐等特出处理。</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4.封边严密、平整、与整块板材严丝合缝。</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5.规格</w:t>
            </w:r>
            <w:r>
              <w:rPr>
                <w:rFonts w:hint="eastAsia" w:ascii="宋体" w:hAnsi="宋体" w:eastAsia="宋体" w:cs="宋体"/>
                <w:b w:val="0"/>
                <w:bCs w:val="0"/>
                <w:color w:val="auto"/>
                <w:sz w:val="18"/>
                <w:szCs w:val="18"/>
                <w:highlight w:val="none"/>
                <w:lang w:val="en-US" w:eastAsia="zh-CN"/>
              </w:rPr>
              <w:t>≥</w:t>
            </w:r>
            <w:r>
              <w:rPr>
                <w:rFonts w:hint="eastAsia" w:ascii="宋体" w:hAnsi="宋体" w:eastAsia="宋体" w:cs="宋体"/>
                <w:color w:val="auto"/>
                <w:sz w:val="18"/>
                <w:szCs w:val="18"/>
                <w:highlight w:val="none"/>
                <w:lang w:val="en-US" w:eastAsia="zh-CN"/>
              </w:rPr>
              <w:t>340*240*450</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59A01ED1">
            <w:pPr>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bidi="ar"/>
              </w:rPr>
              <w:t>60</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384585E2">
            <w:pPr>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bidi="ar"/>
              </w:rPr>
              <w:t>张</w:t>
            </w:r>
          </w:p>
        </w:tc>
        <w:tc>
          <w:tcPr>
            <w:tcW w:w="1357" w:type="dxa"/>
            <w:tcBorders>
              <w:top w:val="single" w:color="000000" w:sz="4" w:space="0"/>
              <w:left w:val="single" w:color="000000" w:sz="4" w:space="0"/>
              <w:bottom w:val="single" w:color="000000" w:sz="4" w:space="0"/>
              <w:right w:val="single" w:color="auto" w:sz="4" w:space="0"/>
            </w:tcBorders>
            <w:noWrap/>
            <w:vAlign w:val="center"/>
          </w:tcPr>
          <w:p w14:paraId="78B9AEA8">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rPr>
            </w:pPr>
          </w:p>
        </w:tc>
        <w:tc>
          <w:tcPr>
            <w:tcW w:w="1241" w:type="dxa"/>
            <w:tcBorders>
              <w:top w:val="single" w:color="000000" w:sz="4" w:space="0"/>
              <w:left w:val="single" w:color="auto" w:sz="4" w:space="0"/>
              <w:bottom w:val="single" w:color="000000" w:sz="4" w:space="0"/>
              <w:right w:val="single" w:color="auto" w:sz="4" w:space="0"/>
            </w:tcBorders>
            <w:noWrap/>
            <w:vAlign w:val="center"/>
          </w:tcPr>
          <w:p w14:paraId="429F7593">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rPr>
            </w:pPr>
          </w:p>
        </w:tc>
        <w:tc>
          <w:tcPr>
            <w:tcW w:w="1763" w:type="dxa"/>
            <w:tcBorders>
              <w:top w:val="single" w:color="000000" w:sz="4" w:space="0"/>
              <w:left w:val="single" w:color="auto" w:sz="4" w:space="0"/>
              <w:bottom w:val="single" w:color="000000" w:sz="4" w:space="0"/>
              <w:right w:val="single" w:color="000000" w:sz="4" w:space="0"/>
            </w:tcBorders>
            <w:noWrap/>
            <w:vAlign w:val="center"/>
          </w:tcPr>
          <w:p w14:paraId="73064EDB">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rPr>
            </w:pPr>
          </w:p>
        </w:tc>
      </w:tr>
      <w:tr w14:paraId="2D76C552">
        <w:tblPrEx>
          <w:tblCellMar>
            <w:top w:w="0" w:type="dxa"/>
            <w:left w:w="108" w:type="dxa"/>
            <w:bottom w:w="0" w:type="dxa"/>
            <w:right w:w="108" w:type="dxa"/>
          </w:tblCellMar>
        </w:tblPrEx>
        <w:trPr>
          <w:trHeight w:val="499" w:hRule="atLeast"/>
          <w:jc w:val="center"/>
        </w:trPr>
        <w:tc>
          <w:tcPr>
            <w:tcW w:w="647" w:type="dxa"/>
            <w:tcBorders>
              <w:top w:val="single" w:color="000000" w:sz="4" w:space="0"/>
              <w:left w:val="single" w:color="000000" w:sz="4" w:space="0"/>
              <w:bottom w:val="single" w:color="000000" w:sz="4" w:space="0"/>
              <w:right w:val="single" w:color="000000" w:sz="4" w:space="0"/>
            </w:tcBorders>
            <w:noWrap/>
            <w:vAlign w:val="center"/>
          </w:tcPr>
          <w:p w14:paraId="5AA20D25">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615C2C66">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静电地板</w:t>
            </w:r>
          </w:p>
        </w:tc>
        <w:tc>
          <w:tcPr>
            <w:tcW w:w="6480" w:type="dxa"/>
            <w:tcBorders>
              <w:top w:val="single" w:color="000000" w:sz="4" w:space="0"/>
              <w:left w:val="single" w:color="000000" w:sz="4" w:space="0"/>
              <w:bottom w:val="single" w:color="000000" w:sz="4" w:space="0"/>
              <w:right w:val="single" w:color="000000" w:sz="4" w:space="0"/>
            </w:tcBorders>
            <w:noWrap w:val="0"/>
            <w:vAlign w:val="center"/>
          </w:tcPr>
          <w:p w14:paraId="5F0BFC4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1.陶瓷小兰花 600*600*45</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2.集中载荷=2950N时挠度：1.21mm、永久变形：0.2mm</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3.均布载荷=12500N/㎡ 挠度：0.88mm</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4.极限集中载荷</w:t>
            </w:r>
            <w:r>
              <w:rPr>
                <w:rFonts w:hint="eastAsia" w:ascii="宋体" w:hAnsi="宋体" w:eastAsia="宋体" w:cs="宋体"/>
                <w:b w:val="0"/>
                <w:bCs w:val="0"/>
                <w:color w:val="auto"/>
                <w:sz w:val="18"/>
                <w:szCs w:val="18"/>
                <w:highlight w:val="none"/>
                <w:lang w:val="en-US" w:eastAsia="zh-CN"/>
              </w:rPr>
              <w:t>≥</w:t>
            </w:r>
            <w:r>
              <w:rPr>
                <w:rFonts w:hint="eastAsia" w:ascii="宋体" w:hAnsi="宋体" w:eastAsia="宋体" w:cs="宋体"/>
                <w:color w:val="auto"/>
                <w:sz w:val="18"/>
                <w:szCs w:val="18"/>
                <w:highlight w:val="none"/>
                <w:lang w:val="en-US" w:eastAsia="zh-CN"/>
              </w:rPr>
              <w:t>13580N</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664E2C5C">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95</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6F79448D">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w:t>
            </w:r>
          </w:p>
        </w:tc>
        <w:tc>
          <w:tcPr>
            <w:tcW w:w="1357" w:type="dxa"/>
            <w:tcBorders>
              <w:top w:val="single" w:color="000000" w:sz="4" w:space="0"/>
              <w:left w:val="single" w:color="000000" w:sz="4" w:space="0"/>
              <w:bottom w:val="single" w:color="000000" w:sz="4" w:space="0"/>
              <w:right w:val="single" w:color="auto" w:sz="4" w:space="0"/>
            </w:tcBorders>
            <w:noWrap/>
            <w:vAlign w:val="center"/>
          </w:tcPr>
          <w:p w14:paraId="2E5F0607">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rPr>
            </w:pPr>
          </w:p>
        </w:tc>
        <w:tc>
          <w:tcPr>
            <w:tcW w:w="1241" w:type="dxa"/>
            <w:tcBorders>
              <w:top w:val="single" w:color="000000" w:sz="4" w:space="0"/>
              <w:left w:val="single" w:color="auto" w:sz="4" w:space="0"/>
              <w:bottom w:val="single" w:color="000000" w:sz="4" w:space="0"/>
              <w:right w:val="single" w:color="auto" w:sz="4" w:space="0"/>
            </w:tcBorders>
            <w:noWrap/>
            <w:vAlign w:val="center"/>
          </w:tcPr>
          <w:p w14:paraId="63711493">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rPr>
            </w:pPr>
          </w:p>
        </w:tc>
        <w:tc>
          <w:tcPr>
            <w:tcW w:w="1763" w:type="dxa"/>
            <w:tcBorders>
              <w:top w:val="single" w:color="000000" w:sz="4" w:space="0"/>
              <w:left w:val="single" w:color="auto" w:sz="4" w:space="0"/>
              <w:bottom w:val="single" w:color="000000" w:sz="4" w:space="0"/>
              <w:right w:val="single" w:color="000000" w:sz="4" w:space="0"/>
            </w:tcBorders>
            <w:noWrap/>
            <w:vAlign w:val="center"/>
          </w:tcPr>
          <w:p w14:paraId="2BC4599D">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rPr>
            </w:pPr>
          </w:p>
        </w:tc>
      </w:tr>
      <w:tr w14:paraId="0DDCBD38">
        <w:tblPrEx>
          <w:tblCellMar>
            <w:top w:w="0" w:type="dxa"/>
            <w:left w:w="108" w:type="dxa"/>
            <w:bottom w:w="0" w:type="dxa"/>
            <w:right w:w="108" w:type="dxa"/>
          </w:tblCellMar>
        </w:tblPrEx>
        <w:trPr>
          <w:trHeight w:val="860" w:hRule="atLeast"/>
          <w:jc w:val="center"/>
        </w:trPr>
        <w:tc>
          <w:tcPr>
            <w:tcW w:w="14542" w:type="dxa"/>
            <w:gridSpan w:val="8"/>
            <w:tcBorders>
              <w:top w:val="single" w:color="000000" w:sz="4" w:space="0"/>
              <w:left w:val="single" w:color="000000" w:sz="4" w:space="0"/>
              <w:bottom w:val="single" w:color="000000" w:sz="4" w:space="0"/>
              <w:right w:val="single" w:color="000000" w:sz="4" w:space="0"/>
            </w:tcBorders>
            <w:noWrap/>
            <w:vAlign w:val="center"/>
          </w:tcPr>
          <w:p w14:paraId="3264F822">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b/>
                <w:bCs/>
                <w:color w:val="auto"/>
                <w:sz w:val="21"/>
                <w:szCs w:val="21"/>
                <w:highlight w:val="none"/>
                <w:lang w:val="en-US" w:eastAsia="zh-CN"/>
              </w:rPr>
              <w:t>二、大数据学院1501与3507实训室改建</w:t>
            </w:r>
          </w:p>
        </w:tc>
      </w:tr>
      <w:tr w14:paraId="692BD67A">
        <w:tblPrEx>
          <w:tblCellMar>
            <w:top w:w="0" w:type="dxa"/>
            <w:left w:w="108" w:type="dxa"/>
            <w:bottom w:w="0" w:type="dxa"/>
            <w:right w:w="108" w:type="dxa"/>
          </w:tblCellMar>
        </w:tblPrEx>
        <w:trPr>
          <w:trHeight w:val="522" w:hRule="atLeast"/>
          <w:jc w:val="center"/>
        </w:trPr>
        <w:tc>
          <w:tcPr>
            <w:tcW w:w="647" w:type="dxa"/>
            <w:tcBorders>
              <w:top w:val="single" w:color="000000" w:sz="4" w:space="0"/>
              <w:left w:val="single" w:color="000000" w:sz="4" w:space="0"/>
              <w:bottom w:val="single" w:color="000000" w:sz="4" w:space="0"/>
              <w:right w:val="single" w:color="000000" w:sz="4" w:space="0"/>
            </w:tcBorders>
            <w:noWrap/>
            <w:vAlign w:val="center"/>
          </w:tcPr>
          <w:p w14:paraId="4893DDEB">
            <w:pPr>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bidi="ar"/>
              </w:rPr>
              <w:t>序号</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4A0DA8B0">
            <w:pPr>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bidi="ar"/>
              </w:rPr>
              <w:t>产品名称</w:t>
            </w:r>
          </w:p>
        </w:tc>
        <w:tc>
          <w:tcPr>
            <w:tcW w:w="6480" w:type="dxa"/>
            <w:tcBorders>
              <w:top w:val="single" w:color="000000" w:sz="4" w:space="0"/>
              <w:left w:val="single" w:color="000000" w:sz="4" w:space="0"/>
              <w:bottom w:val="single" w:color="000000" w:sz="4" w:space="0"/>
              <w:right w:val="single" w:color="000000" w:sz="4" w:space="0"/>
            </w:tcBorders>
            <w:noWrap w:val="0"/>
            <w:vAlign w:val="center"/>
          </w:tcPr>
          <w:p w14:paraId="69021987">
            <w:pPr>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bidi="ar"/>
              </w:rPr>
              <w:t>参数</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3012C4DC">
            <w:pPr>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bidi="ar"/>
              </w:rPr>
              <w:t>数量</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7ED1D1DE">
            <w:pPr>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bidi="ar"/>
              </w:rPr>
              <w:t>单位</w:t>
            </w:r>
          </w:p>
        </w:tc>
        <w:tc>
          <w:tcPr>
            <w:tcW w:w="1357" w:type="dxa"/>
            <w:tcBorders>
              <w:top w:val="single" w:color="000000" w:sz="4" w:space="0"/>
              <w:left w:val="single" w:color="000000" w:sz="4" w:space="0"/>
              <w:bottom w:val="single" w:color="000000" w:sz="4" w:space="0"/>
              <w:right w:val="single" w:color="auto" w:sz="4" w:space="0"/>
            </w:tcBorders>
            <w:noWrap w:val="0"/>
            <w:vAlign w:val="center"/>
          </w:tcPr>
          <w:p w14:paraId="7E1CDCBC">
            <w:pPr>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单价（元）</w:t>
            </w:r>
          </w:p>
        </w:tc>
        <w:tc>
          <w:tcPr>
            <w:tcW w:w="1241" w:type="dxa"/>
            <w:tcBorders>
              <w:top w:val="single" w:color="000000" w:sz="4" w:space="0"/>
              <w:left w:val="single" w:color="auto" w:sz="4" w:space="0"/>
              <w:bottom w:val="single" w:color="000000" w:sz="4" w:space="0"/>
              <w:right w:val="single" w:color="auto" w:sz="4" w:space="0"/>
            </w:tcBorders>
            <w:noWrap w:val="0"/>
            <w:vAlign w:val="center"/>
          </w:tcPr>
          <w:p w14:paraId="448E9CB7">
            <w:pPr>
              <w:jc w:val="center"/>
              <w:textAlignment w:val="center"/>
              <w:rPr>
                <w:rFonts w:hint="eastAsia" w:ascii="宋体" w:hAnsi="宋体" w:eastAsia="宋体" w:cs="宋体"/>
                <w:b/>
                <w:bCs/>
                <w:color w:val="auto"/>
                <w:sz w:val="21"/>
                <w:szCs w:val="21"/>
                <w:highlight w:val="none"/>
                <w:lang w:bidi="ar"/>
              </w:rPr>
            </w:pPr>
            <w:r>
              <w:rPr>
                <w:rFonts w:hint="eastAsia" w:ascii="宋体" w:hAnsi="宋体" w:eastAsia="宋体" w:cs="宋体"/>
                <w:b/>
                <w:bCs/>
                <w:color w:val="auto"/>
                <w:sz w:val="21"/>
                <w:szCs w:val="21"/>
                <w:highlight w:val="none"/>
                <w:lang w:val="en-US" w:eastAsia="zh-CN" w:bidi="ar"/>
              </w:rPr>
              <w:t>合计（元）</w:t>
            </w:r>
          </w:p>
        </w:tc>
        <w:tc>
          <w:tcPr>
            <w:tcW w:w="1763" w:type="dxa"/>
            <w:tcBorders>
              <w:top w:val="single" w:color="000000" w:sz="4" w:space="0"/>
              <w:left w:val="single" w:color="auto" w:sz="4" w:space="0"/>
              <w:bottom w:val="single" w:color="000000" w:sz="4" w:space="0"/>
              <w:right w:val="single" w:color="000000" w:sz="4" w:space="0"/>
            </w:tcBorders>
            <w:noWrap w:val="0"/>
            <w:vAlign w:val="center"/>
          </w:tcPr>
          <w:p w14:paraId="05B09884">
            <w:pPr>
              <w:jc w:val="center"/>
              <w:textAlignment w:val="center"/>
              <w:rPr>
                <w:rFonts w:hint="eastAsia" w:ascii="宋体" w:hAnsi="宋体" w:eastAsia="宋体" w:cs="宋体"/>
                <w:b/>
                <w:bCs/>
                <w:color w:val="auto"/>
                <w:sz w:val="21"/>
                <w:szCs w:val="21"/>
                <w:highlight w:val="none"/>
                <w:lang w:bidi="ar"/>
              </w:rPr>
            </w:pPr>
            <w:r>
              <w:rPr>
                <w:rFonts w:hint="eastAsia" w:ascii="宋体" w:hAnsi="宋体" w:eastAsia="宋体" w:cs="宋体"/>
                <w:b/>
                <w:bCs/>
                <w:color w:val="auto"/>
                <w:sz w:val="21"/>
                <w:szCs w:val="21"/>
                <w:highlight w:val="none"/>
                <w:lang w:bidi="ar"/>
              </w:rPr>
              <w:t>备注</w:t>
            </w:r>
          </w:p>
        </w:tc>
      </w:tr>
      <w:tr w14:paraId="5E844D72">
        <w:tblPrEx>
          <w:tblCellMar>
            <w:top w:w="0" w:type="dxa"/>
            <w:left w:w="108" w:type="dxa"/>
            <w:bottom w:w="0" w:type="dxa"/>
            <w:right w:w="108" w:type="dxa"/>
          </w:tblCellMar>
        </w:tblPrEx>
        <w:trPr>
          <w:trHeight w:val="522" w:hRule="atLeast"/>
          <w:jc w:val="center"/>
        </w:trPr>
        <w:tc>
          <w:tcPr>
            <w:tcW w:w="14542" w:type="dxa"/>
            <w:gridSpan w:val="8"/>
            <w:tcBorders>
              <w:top w:val="single" w:color="000000" w:sz="4" w:space="0"/>
              <w:left w:val="single" w:color="000000" w:sz="4" w:space="0"/>
              <w:bottom w:val="single" w:color="000000" w:sz="4" w:space="0"/>
              <w:right w:val="single" w:color="000000" w:sz="4" w:space="0"/>
            </w:tcBorders>
            <w:noWrap/>
            <w:vAlign w:val="center"/>
          </w:tcPr>
          <w:p w14:paraId="79808944">
            <w:pPr>
              <w:jc w:val="both"/>
              <w:textAlignment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lang w:eastAsia="zh-CN" w:bidi="ar"/>
              </w:rPr>
              <w:t>（</w:t>
            </w:r>
            <w:r>
              <w:rPr>
                <w:rFonts w:hint="eastAsia" w:ascii="宋体" w:hAnsi="宋体" w:eastAsia="宋体" w:cs="宋体"/>
                <w:b/>
                <w:bCs/>
                <w:color w:val="auto"/>
                <w:sz w:val="18"/>
                <w:szCs w:val="18"/>
                <w:highlight w:val="none"/>
                <w:lang w:val="en-US" w:eastAsia="zh-CN" w:bidi="ar"/>
              </w:rPr>
              <w:t>一</w:t>
            </w:r>
            <w:r>
              <w:rPr>
                <w:rFonts w:hint="eastAsia" w:ascii="宋体" w:hAnsi="宋体" w:eastAsia="宋体" w:cs="宋体"/>
                <w:b/>
                <w:bCs/>
                <w:color w:val="auto"/>
                <w:sz w:val="18"/>
                <w:szCs w:val="18"/>
                <w:highlight w:val="none"/>
                <w:lang w:eastAsia="zh-CN" w:bidi="ar"/>
              </w:rPr>
              <w:t>）</w:t>
            </w:r>
            <w:r>
              <w:rPr>
                <w:rFonts w:hint="eastAsia" w:ascii="宋体" w:hAnsi="宋体" w:eastAsia="宋体" w:cs="宋体"/>
                <w:b/>
                <w:bCs/>
                <w:color w:val="auto"/>
                <w:sz w:val="18"/>
                <w:szCs w:val="18"/>
                <w:highlight w:val="none"/>
                <w:lang w:bidi="ar"/>
              </w:rPr>
              <w:t>专业资源制作实训室设备清单</w:t>
            </w:r>
          </w:p>
        </w:tc>
      </w:tr>
      <w:tr w14:paraId="0B2DF333">
        <w:tblPrEx>
          <w:tblCellMar>
            <w:top w:w="0" w:type="dxa"/>
            <w:left w:w="108" w:type="dxa"/>
            <w:bottom w:w="0" w:type="dxa"/>
            <w:right w:w="108" w:type="dxa"/>
          </w:tblCellMar>
        </w:tblPrEx>
        <w:trPr>
          <w:trHeight w:val="415" w:hRule="atLeast"/>
          <w:jc w:val="center"/>
        </w:trPr>
        <w:tc>
          <w:tcPr>
            <w:tcW w:w="647" w:type="dxa"/>
            <w:vMerge w:val="restart"/>
            <w:tcBorders>
              <w:top w:val="single" w:color="000000" w:sz="4" w:space="0"/>
              <w:left w:val="single" w:color="000000" w:sz="4" w:space="0"/>
              <w:right w:val="single" w:color="000000" w:sz="4" w:space="0"/>
            </w:tcBorders>
            <w:noWrap/>
            <w:vAlign w:val="center"/>
          </w:tcPr>
          <w:p w14:paraId="10174ECB">
            <w:pPr>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1</w:t>
            </w:r>
          </w:p>
        </w:tc>
        <w:tc>
          <w:tcPr>
            <w:tcW w:w="1549" w:type="dxa"/>
            <w:vMerge w:val="restart"/>
            <w:tcBorders>
              <w:top w:val="single" w:color="000000" w:sz="4" w:space="0"/>
              <w:left w:val="single" w:color="000000" w:sz="4" w:space="0"/>
              <w:right w:val="single" w:color="000000" w:sz="4" w:space="0"/>
            </w:tcBorders>
            <w:noWrap/>
            <w:vAlign w:val="center"/>
          </w:tcPr>
          <w:p w14:paraId="52A9739A">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台式电脑</w:t>
            </w:r>
          </w:p>
        </w:tc>
        <w:tc>
          <w:tcPr>
            <w:tcW w:w="6480" w:type="dxa"/>
            <w:tcBorders>
              <w:top w:val="single" w:color="000000" w:sz="4" w:space="0"/>
              <w:left w:val="single" w:color="000000" w:sz="4" w:space="0"/>
              <w:bottom w:val="single" w:color="auto" w:sz="4" w:space="0"/>
              <w:right w:val="single" w:color="000000" w:sz="4" w:space="0"/>
            </w:tcBorders>
            <w:noWrap w:val="0"/>
            <w:vAlign w:val="center"/>
          </w:tcPr>
          <w:p w14:paraId="784A62B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1、CPU Intel 酷睿i5十二代或以上，主频≥2.5GHz或以上，六核十二线程，三级缓存≥18MB；</w:t>
            </w:r>
          </w:p>
        </w:tc>
        <w:tc>
          <w:tcPr>
            <w:tcW w:w="731" w:type="dxa"/>
            <w:vMerge w:val="restart"/>
            <w:tcBorders>
              <w:top w:val="single" w:color="000000" w:sz="4" w:space="0"/>
              <w:left w:val="single" w:color="000000" w:sz="4" w:space="0"/>
              <w:right w:val="single" w:color="000000" w:sz="4" w:space="0"/>
            </w:tcBorders>
            <w:noWrap/>
            <w:vAlign w:val="center"/>
          </w:tcPr>
          <w:p w14:paraId="43FC3EB0">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120</w:t>
            </w:r>
          </w:p>
        </w:tc>
        <w:tc>
          <w:tcPr>
            <w:tcW w:w="774" w:type="dxa"/>
            <w:vMerge w:val="restart"/>
            <w:tcBorders>
              <w:top w:val="single" w:color="000000" w:sz="4" w:space="0"/>
              <w:left w:val="single" w:color="000000" w:sz="4" w:space="0"/>
              <w:right w:val="single" w:color="000000" w:sz="4" w:space="0"/>
            </w:tcBorders>
            <w:noWrap/>
            <w:vAlign w:val="center"/>
          </w:tcPr>
          <w:p w14:paraId="3A23E921">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台</w:t>
            </w:r>
          </w:p>
        </w:tc>
        <w:tc>
          <w:tcPr>
            <w:tcW w:w="1357" w:type="dxa"/>
            <w:tcBorders>
              <w:top w:val="single" w:color="000000" w:sz="4" w:space="0"/>
              <w:left w:val="single" w:color="000000" w:sz="4" w:space="0"/>
              <w:bottom w:val="single" w:color="auto" w:sz="4" w:space="0"/>
              <w:right w:val="single" w:color="auto" w:sz="4" w:space="0"/>
            </w:tcBorders>
            <w:noWrap w:val="0"/>
            <w:vAlign w:val="center"/>
          </w:tcPr>
          <w:p w14:paraId="389152BC">
            <w:pPr>
              <w:rPr>
                <w:rFonts w:hint="eastAsia" w:ascii="宋体" w:hAnsi="宋体" w:eastAsia="宋体" w:cs="宋体"/>
                <w:color w:val="auto"/>
                <w:sz w:val="22"/>
                <w:szCs w:val="22"/>
                <w:highlight w:val="none"/>
              </w:rPr>
            </w:pPr>
          </w:p>
        </w:tc>
        <w:tc>
          <w:tcPr>
            <w:tcW w:w="1241" w:type="dxa"/>
            <w:vMerge w:val="restart"/>
            <w:tcBorders>
              <w:top w:val="single" w:color="000000" w:sz="4" w:space="0"/>
              <w:left w:val="single" w:color="auto" w:sz="4" w:space="0"/>
              <w:right w:val="single" w:color="auto" w:sz="4" w:space="0"/>
            </w:tcBorders>
            <w:noWrap w:val="0"/>
            <w:vAlign w:val="center"/>
          </w:tcPr>
          <w:p w14:paraId="33269330">
            <w:pPr>
              <w:rPr>
                <w:rFonts w:hint="eastAsia" w:ascii="宋体" w:hAnsi="宋体" w:eastAsia="宋体" w:cs="宋体"/>
                <w:color w:val="auto"/>
                <w:sz w:val="22"/>
                <w:szCs w:val="22"/>
                <w:highlight w:val="none"/>
              </w:rPr>
            </w:pPr>
          </w:p>
        </w:tc>
        <w:tc>
          <w:tcPr>
            <w:tcW w:w="1763" w:type="dxa"/>
            <w:vMerge w:val="restart"/>
            <w:tcBorders>
              <w:top w:val="single" w:color="000000" w:sz="4" w:space="0"/>
              <w:left w:val="single" w:color="auto" w:sz="4" w:space="0"/>
              <w:right w:val="single" w:color="000000" w:sz="4" w:space="0"/>
            </w:tcBorders>
            <w:noWrap w:val="0"/>
            <w:vAlign w:val="center"/>
          </w:tcPr>
          <w:p w14:paraId="4A5CD5E9">
            <w:pPr>
              <w:rPr>
                <w:rFonts w:hint="eastAsia" w:ascii="宋体" w:hAnsi="宋体" w:eastAsia="宋体" w:cs="宋体"/>
                <w:color w:val="auto"/>
                <w:sz w:val="22"/>
                <w:szCs w:val="22"/>
                <w:highlight w:val="none"/>
              </w:rPr>
            </w:pPr>
          </w:p>
        </w:tc>
      </w:tr>
      <w:tr w14:paraId="31E1943E">
        <w:tblPrEx>
          <w:tblCellMar>
            <w:top w:w="0" w:type="dxa"/>
            <w:left w:w="108" w:type="dxa"/>
            <w:bottom w:w="0" w:type="dxa"/>
            <w:right w:w="108" w:type="dxa"/>
          </w:tblCellMar>
        </w:tblPrEx>
        <w:trPr>
          <w:trHeight w:val="515" w:hRule="atLeast"/>
          <w:jc w:val="center"/>
        </w:trPr>
        <w:tc>
          <w:tcPr>
            <w:tcW w:w="647" w:type="dxa"/>
            <w:vMerge w:val="continue"/>
            <w:tcBorders>
              <w:left w:val="single" w:color="000000" w:sz="4" w:space="0"/>
              <w:bottom w:val="single" w:color="000000" w:sz="4" w:space="0"/>
              <w:right w:val="single" w:color="000000" w:sz="4" w:space="0"/>
            </w:tcBorders>
            <w:noWrap/>
            <w:vAlign w:val="center"/>
          </w:tcPr>
          <w:p w14:paraId="319CD6E9">
            <w:pPr>
              <w:jc w:val="center"/>
              <w:textAlignment w:val="center"/>
              <w:rPr>
                <w:rFonts w:hint="eastAsia" w:ascii="宋体" w:hAnsi="宋体" w:eastAsia="宋体" w:cs="宋体"/>
                <w:color w:val="auto"/>
                <w:sz w:val="18"/>
                <w:szCs w:val="18"/>
                <w:highlight w:val="none"/>
                <w:lang w:bidi="ar"/>
              </w:rPr>
            </w:pPr>
          </w:p>
        </w:tc>
        <w:tc>
          <w:tcPr>
            <w:tcW w:w="1549" w:type="dxa"/>
            <w:vMerge w:val="continue"/>
            <w:tcBorders>
              <w:left w:val="single" w:color="000000" w:sz="4" w:space="0"/>
              <w:bottom w:val="single" w:color="000000" w:sz="4" w:space="0"/>
              <w:right w:val="single" w:color="000000" w:sz="4" w:space="0"/>
            </w:tcBorders>
            <w:noWrap/>
            <w:vAlign w:val="center"/>
          </w:tcPr>
          <w:p w14:paraId="70193169">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6480" w:type="dxa"/>
            <w:tcBorders>
              <w:top w:val="single" w:color="auto" w:sz="4" w:space="0"/>
              <w:left w:val="single" w:color="000000" w:sz="4" w:space="0"/>
              <w:bottom w:val="single" w:color="auto" w:sz="4" w:space="0"/>
              <w:right w:val="single" w:color="000000" w:sz="4" w:space="0"/>
            </w:tcBorders>
            <w:noWrap w:val="0"/>
            <w:vAlign w:val="center"/>
          </w:tcPr>
          <w:p w14:paraId="66F09A2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2、主板 ≥Intel B660M芯片组， MATX 主板，插槽2*PCI-E 1X，1*PCI-E 16X ，2*M.2， 1*COM插针；</w:t>
            </w:r>
          </w:p>
        </w:tc>
        <w:tc>
          <w:tcPr>
            <w:tcW w:w="731" w:type="dxa"/>
            <w:vMerge w:val="continue"/>
            <w:tcBorders>
              <w:left w:val="single" w:color="000000" w:sz="4" w:space="0"/>
              <w:bottom w:val="single" w:color="000000" w:sz="4" w:space="0"/>
              <w:right w:val="single" w:color="000000" w:sz="4" w:space="0"/>
            </w:tcBorders>
            <w:noWrap/>
            <w:vAlign w:val="center"/>
          </w:tcPr>
          <w:p w14:paraId="4C7F9C6E">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774" w:type="dxa"/>
            <w:vMerge w:val="continue"/>
            <w:tcBorders>
              <w:left w:val="single" w:color="000000" w:sz="4" w:space="0"/>
              <w:bottom w:val="single" w:color="000000" w:sz="4" w:space="0"/>
              <w:right w:val="single" w:color="000000" w:sz="4" w:space="0"/>
            </w:tcBorders>
            <w:noWrap/>
            <w:vAlign w:val="center"/>
          </w:tcPr>
          <w:p w14:paraId="46FA7EE0">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1357" w:type="dxa"/>
            <w:tcBorders>
              <w:top w:val="single" w:color="auto" w:sz="4" w:space="0"/>
              <w:left w:val="single" w:color="000000" w:sz="4" w:space="0"/>
              <w:bottom w:val="single" w:color="auto" w:sz="4" w:space="0"/>
              <w:right w:val="single" w:color="auto" w:sz="4" w:space="0"/>
            </w:tcBorders>
            <w:noWrap w:val="0"/>
            <w:vAlign w:val="center"/>
          </w:tcPr>
          <w:p w14:paraId="639DF93F">
            <w:pPr>
              <w:rPr>
                <w:rFonts w:hint="eastAsia" w:ascii="宋体" w:hAnsi="宋体" w:eastAsia="宋体" w:cs="宋体"/>
                <w:color w:val="auto"/>
                <w:sz w:val="22"/>
                <w:szCs w:val="22"/>
                <w:highlight w:val="none"/>
              </w:rPr>
            </w:pPr>
          </w:p>
        </w:tc>
        <w:tc>
          <w:tcPr>
            <w:tcW w:w="1241" w:type="dxa"/>
            <w:vMerge w:val="continue"/>
            <w:tcBorders>
              <w:left w:val="single" w:color="auto" w:sz="4" w:space="0"/>
              <w:bottom w:val="single" w:color="000000" w:sz="4" w:space="0"/>
              <w:right w:val="single" w:color="auto" w:sz="4" w:space="0"/>
            </w:tcBorders>
            <w:noWrap w:val="0"/>
            <w:vAlign w:val="center"/>
          </w:tcPr>
          <w:p w14:paraId="46BC28B7">
            <w:pPr>
              <w:rPr>
                <w:rFonts w:hint="eastAsia" w:ascii="宋体" w:hAnsi="宋体" w:eastAsia="宋体" w:cs="宋体"/>
                <w:color w:val="auto"/>
                <w:sz w:val="22"/>
                <w:szCs w:val="22"/>
                <w:highlight w:val="none"/>
              </w:rPr>
            </w:pPr>
          </w:p>
        </w:tc>
        <w:tc>
          <w:tcPr>
            <w:tcW w:w="1763" w:type="dxa"/>
            <w:vMerge w:val="continue"/>
            <w:tcBorders>
              <w:left w:val="single" w:color="auto" w:sz="4" w:space="0"/>
              <w:bottom w:val="single" w:color="000000" w:sz="4" w:space="0"/>
              <w:right w:val="single" w:color="000000" w:sz="4" w:space="0"/>
            </w:tcBorders>
            <w:noWrap w:val="0"/>
            <w:vAlign w:val="center"/>
          </w:tcPr>
          <w:p w14:paraId="65A82629">
            <w:pPr>
              <w:rPr>
                <w:rFonts w:hint="eastAsia" w:ascii="宋体" w:hAnsi="宋体" w:eastAsia="宋体" w:cs="宋体"/>
                <w:color w:val="auto"/>
                <w:sz w:val="22"/>
                <w:szCs w:val="22"/>
                <w:highlight w:val="none"/>
              </w:rPr>
            </w:pPr>
          </w:p>
        </w:tc>
      </w:tr>
      <w:tr w14:paraId="565A6EF9">
        <w:tblPrEx>
          <w:tblCellMar>
            <w:top w:w="0" w:type="dxa"/>
            <w:left w:w="108" w:type="dxa"/>
            <w:bottom w:w="0" w:type="dxa"/>
            <w:right w:w="108" w:type="dxa"/>
          </w:tblCellMar>
        </w:tblPrEx>
        <w:trPr>
          <w:trHeight w:val="477" w:hRule="atLeast"/>
          <w:jc w:val="center"/>
        </w:trPr>
        <w:tc>
          <w:tcPr>
            <w:tcW w:w="647" w:type="dxa"/>
            <w:vMerge w:val="continue"/>
            <w:tcBorders>
              <w:left w:val="single" w:color="000000" w:sz="4" w:space="0"/>
              <w:bottom w:val="single" w:color="000000" w:sz="4" w:space="0"/>
              <w:right w:val="single" w:color="000000" w:sz="4" w:space="0"/>
            </w:tcBorders>
            <w:noWrap/>
            <w:vAlign w:val="center"/>
          </w:tcPr>
          <w:p w14:paraId="0B468075">
            <w:pPr>
              <w:jc w:val="center"/>
              <w:textAlignment w:val="center"/>
              <w:rPr>
                <w:rFonts w:hint="eastAsia" w:ascii="宋体" w:hAnsi="宋体" w:eastAsia="宋体" w:cs="宋体"/>
                <w:color w:val="auto"/>
                <w:sz w:val="18"/>
                <w:szCs w:val="18"/>
                <w:highlight w:val="none"/>
                <w:lang w:bidi="ar"/>
              </w:rPr>
            </w:pPr>
          </w:p>
        </w:tc>
        <w:tc>
          <w:tcPr>
            <w:tcW w:w="1549" w:type="dxa"/>
            <w:vMerge w:val="continue"/>
            <w:tcBorders>
              <w:left w:val="single" w:color="000000" w:sz="4" w:space="0"/>
              <w:bottom w:val="single" w:color="000000" w:sz="4" w:space="0"/>
              <w:right w:val="single" w:color="000000" w:sz="4" w:space="0"/>
            </w:tcBorders>
            <w:noWrap/>
            <w:vAlign w:val="center"/>
          </w:tcPr>
          <w:p w14:paraId="187D4EB3">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6480" w:type="dxa"/>
            <w:tcBorders>
              <w:top w:val="single" w:color="auto" w:sz="4" w:space="0"/>
              <w:left w:val="single" w:color="000000" w:sz="4" w:space="0"/>
              <w:bottom w:val="single" w:color="auto" w:sz="4" w:space="0"/>
              <w:right w:val="single" w:color="000000" w:sz="4" w:space="0"/>
            </w:tcBorders>
            <w:noWrap w:val="0"/>
            <w:vAlign w:val="center"/>
          </w:tcPr>
          <w:p w14:paraId="3D4BD96A">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3、内存 ≥32GB DDR4 3200，内存插槽数≥2，最大支持64GB；</w:t>
            </w:r>
          </w:p>
        </w:tc>
        <w:tc>
          <w:tcPr>
            <w:tcW w:w="731" w:type="dxa"/>
            <w:vMerge w:val="continue"/>
            <w:tcBorders>
              <w:left w:val="single" w:color="000000" w:sz="4" w:space="0"/>
              <w:bottom w:val="single" w:color="000000" w:sz="4" w:space="0"/>
              <w:right w:val="single" w:color="000000" w:sz="4" w:space="0"/>
            </w:tcBorders>
            <w:noWrap/>
            <w:vAlign w:val="center"/>
          </w:tcPr>
          <w:p w14:paraId="316F8257">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774" w:type="dxa"/>
            <w:vMerge w:val="continue"/>
            <w:tcBorders>
              <w:left w:val="single" w:color="000000" w:sz="4" w:space="0"/>
              <w:bottom w:val="single" w:color="000000" w:sz="4" w:space="0"/>
              <w:right w:val="single" w:color="000000" w:sz="4" w:space="0"/>
            </w:tcBorders>
            <w:noWrap/>
            <w:vAlign w:val="center"/>
          </w:tcPr>
          <w:p w14:paraId="12BC46A4">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1357" w:type="dxa"/>
            <w:tcBorders>
              <w:top w:val="single" w:color="auto" w:sz="4" w:space="0"/>
              <w:left w:val="single" w:color="000000" w:sz="4" w:space="0"/>
              <w:bottom w:val="single" w:color="auto" w:sz="4" w:space="0"/>
              <w:right w:val="single" w:color="auto" w:sz="4" w:space="0"/>
            </w:tcBorders>
            <w:noWrap w:val="0"/>
            <w:vAlign w:val="center"/>
          </w:tcPr>
          <w:p w14:paraId="55874448">
            <w:pPr>
              <w:rPr>
                <w:rFonts w:hint="eastAsia" w:ascii="宋体" w:hAnsi="宋体" w:eastAsia="宋体" w:cs="宋体"/>
                <w:color w:val="auto"/>
                <w:sz w:val="22"/>
                <w:szCs w:val="22"/>
                <w:highlight w:val="none"/>
              </w:rPr>
            </w:pPr>
          </w:p>
        </w:tc>
        <w:tc>
          <w:tcPr>
            <w:tcW w:w="1241" w:type="dxa"/>
            <w:vMerge w:val="continue"/>
            <w:tcBorders>
              <w:left w:val="single" w:color="auto" w:sz="4" w:space="0"/>
              <w:bottom w:val="single" w:color="000000" w:sz="4" w:space="0"/>
              <w:right w:val="single" w:color="auto" w:sz="4" w:space="0"/>
            </w:tcBorders>
            <w:noWrap w:val="0"/>
            <w:vAlign w:val="center"/>
          </w:tcPr>
          <w:p w14:paraId="47BE4B06">
            <w:pPr>
              <w:rPr>
                <w:rFonts w:hint="eastAsia" w:ascii="宋体" w:hAnsi="宋体" w:eastAsia="宋体" w:cs="宋体"/>
                <w:color w:val="auto"/>
                <w:sz w:val="22"/>
                <w:szCs w:val="22"/>
                <w:highlight w:val="none"/>
              </w:rPr>
            </w:pPr>
          </w:p>
        </w:tc>
        <w:tc>
          <w:tcPr>
            <w:tcW w:w="1763" w:type="dxa"/>
            <w:vMerge w:val="continue"/>
            <w:tcBorders>
              <w:left w:val="single" w:color="auto" w:sz="4" w:space="0"/>
              <w:bottom w:val="single" w:color="000000" w:sz="4" w:space="0"/>
              <w:right w:val="single" w:color="000000" w:sz="4" w:space="0"/>
            </w:tcBorders>
            <w:noWrap w:val="0"/>
            <w:vAlign w:val="center"/>
          </w:tcPr>
          <w:p w14:paraId="230A925D">
            <w:pPr>
              <w:rPr>
                <w:rFonts w:hint="eastAsia" w:ascii="宋体" w:hAnsi="宋体" w:eastAsia="宋体" w:cs="宋体"/>
                <w:color w:val="auto"/>
                <w:sz w:val="22"/>
                <w:szCs w:val="22"/>
                <w:highlight w:val="none"/>
              </w:rPr>
            </w:pPr>
          </w:p>
        </w:tc>
      </w:tr>
      <w:tr w14:paraId="67C2CB4C">
        <w:tblPrEx>
          <w:tblCellMar>
            <w:top w:w="0" w:type="dxa"/>
            <w:left w:w="108" w:type="dxa"/>
            <w:bottom w:w="0" w:type="dxa"/>
            <w:right w:w="108" w:type="dxa"/>
          </w:tblCellMar>
        </w:tblPrEx>
        <w:trPr>
          <w:trHeight w:val="440" w:hRule="atLeast"/>
          <w:jc w:val="center"/>
        </w:trPr>
        <w:tc>
          <w:tcPr>
            <w:tcW w:w="647" w:type="dxa"/>
            <w:vMerge w:val="continue"/>
            <w:tcBorders>
              <w:left w:val="single" w:color="000000" w:sz="4" w:space="0"/>
              <w:bottom w:val="single" w:color="000000" w:sz="4" w:space="0"/>
              <w:right w:val="single" w:color="000000" w:sz="4" w:space="0"/>
            </w:tcBorders>
            <w:noWrap/>
            <w:vAlign w:val="center"/>
          </w:tcPr>
          <w:p w14:paraId="4FCAA636">
            <w:pPr>
              <w:jc w:val="center"/>
              <w:textAlignment w:val="center"/>
              <w:rPr>
                <w:rFonts w:hint="eastAsia" w:ascii="宋体" w:hAnsi="宋体" w:eastAsia="宋体" w:cs="宋体"/>
                <w:color w:val="auto"/>
                <w:sz w:val="18"/>
                <w:szCs w:val="18"/>
                <w:highlight w:val="none"/>
                <w:lang w:bidi="ar"/>
              </w:rPr>
            </w:pPr>
          </w:p>
        </w:tc>
        <w:tc>
          <w:tcPr>
            <w:tcW w:w="1549" w:type="dxa"/>
            <w:vMerge w:val="continue"/>
            <w:tcBorders>
              <w:left w:val="single" w:color="000000" w:sz="4" w:space="0"/>
              <w:bottom w:val="single" w:color="000000" w:sz="4" w:space="0"/>
              <w:right w:val="single" w:color="000000" w:sz="4" w:space="0"/>
            </w:tcBorders>
            <w:noWrap/>
            <w:vAlign w:val="center"/>
          </w:tcPr>
          <w:p w14:paraId="2574F6A0">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6480" w:type="dxa"/>
            <w:tcBorders>
              <w:top w:val="single" w:color="auto" w:sz="4" w:space="0"/>
              <w:left w:val="single" w:color="000000" w:sz="4" w:space="0"/>
              <w:bottom w:val="single" w:color="auto" w:sz="4" w:space="0"/>
              <w:right w:val="single" w:color="000000" w:sz="4" w:space="0"/>
            </w:tcBorders>
            <w:noWrap w:val="0"/>
            <w:vAlign w:val="center"/>
          </w:tcPr>
          <w:p w14:paraId="28683A85">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4、硬盘 ≥512G SSD NVME；</w:t>
            </w:r>
          </w:p>
        </w:tc>
        <w:tc>
          <w:tcPr>
            <w:tcW w:w="731" w:type="dxa"/>
            <w:vMerge w:val="continue"/>
            <w:tcBorders>
              <w:left w:val="single" w:color="000000" w:sz="4" w:space="0"/>
              <w:bottom w:val="single" w:color="000000" w:sz="4" w:space="0"/>
              <w:right w:val="single" w:color="000000" w:sz="4" w:space="0"/>
            </w:tcBorders>
            <w:noWrap/>
            <w:vAlign w:val="center"/>
          </w:tcPr>
          <w:p w14:paraId="31712EDE">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774" w:type="dxa"/>
            <w:vMerge w:val="continue"/>
            <w:tcBorders>
              <w:left w:val="single" w:color="000000" w:sz="4" w:space="0"/>
              <w:bottom w:val="single" w:color="000000" w:sz="4" w:space="0"/>
              <w:right w:val="single" w:color="000000" w:sz="4" w:space="0"/>
            </w:tcBorders>
            <w:noWrap/>
            <w:vAlign w:val="center"/>
          </w:tcPr>
          <w:p w14:paraId="28032515">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1357" w:type="dxa"/>
            <w:tcBorders>
              <w:top w:val="single" w:color="auto" w:sz="4" w:space="0"/>
              <w:left w:val="single" w:color="000000" w:sz="4" w:space="0"/>
              <w:bottom w:val="single" w:color="auto" w:sz="4" w:space="0"/>
              <w:right w:val="single" w:color="auto" w:sz="4" w:space="0"/>
            </w:tcBorders>
            <w:noWrap w:val="0"/>
            <w:vAlign w:val="center"/>
          </w:tcPr>
          <w:p w14:paraId="07852ACF">
            <w:pPr>
              <w:rPr>
                <w:rFonts w:hint="eastAsia" w:ascii="宋体" w:hAnsi="宋体" w:eastAsia="宋体" w:cs="宋体"/>
                <w:color w:val="auto"/>
                <w:sz w:val="22"/>
                <w:szCs w:val="22"/>
                <w:highlight w:val="none"/>
              </w:rPr>
            </w:pPr>
          </w:p>
        </w:tc>
        <w:tc>
          <w:tcPr>
            <w:tcW w:w="1241" w:type="dxa"/>
            <w:vMerge w:val="continue"/>
            <w:tcBorders>
              <w:left w:val="single" w:color="auto" w:sz="4" w:space="0"/>
              <w:bottom w:val="single" w:color="000000" w:sz="4" w:space="0"/>
              <w:right w:val="single" w:color="auto" w:sz="4" w:space="0"/>
            </w:tcBorders>
            <w:noWrap w:val="0"/>
            <w:vAlign w:val="center"/>
          </w:tcPr>
          <w:p w14:paraId="00593D31">
            <w:pPr>
              <w:rPr>
                <w:rFonts w:hint="eastAsia" w:ascii="宋体" w:hAnsi="宋体" w:eastAsia="宋体" w:cs="宋体"/>
                <w:color w:val="auto"/>
                <w:sz w:val="22"/>
                <w:szCs w:val="22"/>
                <w:highlight w:val="none"/>
              </w:rPr>
            </w:pPr>
          </w:p>
        </w:tc>
        <w:tc>
          <w:tcPr>
            <w:tcW w:w="1763" w:type="dxa"/>
            <w:vMerge w:val="continue"/>
            <w:tcBorders>
              <w:left w:val="single" w:color="auto" w:sz="4" w:space="0"/>
              <w:bottom w:val="single" w:color="000000" w:sz="4" w:space="0"/>
              <w:right w:val="single" w:color="000000" w:sz="4" w:space="0"/>
            </w:tcBorders>
            <w:noWrap w:val="0"/>
            <w:vAlign w:val="center"/>
          </w:tcPr>
          <w:p w14:paraId="138F7B52">
            <w:pPr>
              <w:rPr>
                <w:rFonts w:hint="eastAsia" w:ascii="宋体" w:hAnsi="宋体" w:eastAsia="宋体" w:cs="宋体"/>
                <w:color w:val="auto"/>
                <w:sz w:val="22"/>
                <w:szCs w:val="22"/>
                <w:highlight w:val="none"/>
              </w:rPr>
            </w:pPr>
          </w:p>
        </w:tc>
      </w:tr>
      <w:tr w14:paraId="72BC0EE2">
        <w:tblPrEx>
          <w:tblCellMar>
            <w:top w:w="0" w:type="dxa"/>
            <w:left w:w="108" w:type="dxa"/>
            <w:bottom w:w="0" w:type="dxa"/>
            <w:right w:w="108" w:type="dxa"/>
          </w:tblCellMar>
        </w:tblPrEx>
        <w:trPr>
          <w:trHeight w:val="440" w:hRule="atLeast"/>
          <w:jc w:val="center"/>
        </w:trPr>
        <w:tc>
          <w:tcPr>
            <w:tcW w:w="647" w:type="dxa"/>
            <w:vMerge w:val="continue"/>
            <w:tcBorders>
              <w:left w:val="single" w:color="000000" w:sz="4" w:space="0"/>
              <w:bottom w:val="single" w:color="000000" w:sz="4" w:space="0"/>
              <w:right w:val="single" w:color="000000" w:sz="4" w:space="0"/>
            </w:tcBorders>
            <w:noWrap/>
            <w:vAlign w:val="center"/>
          </w:tcPr>
          <w:p w14:paraId="62A95B68">
            <w:pPr>
              <w:jc w:val="center"/>
              <w:textAlignment w:val="center"/>
              <w:rPr>
                <w:rFonts w:hint="eastAsia" w:ascii="宋体" w:hAnsi="宋体" w:eastAsia="宋体" w:cs="宋体"/>
                <w:color w:val="auto"/>
                <w:sz w:val="18"/>
                <w:szCs w:val="18"/>
                <w:highlight w:val="none"/>
                <w:lang w:bidi="ar"/>
              </w:rPr>
            </w:pPr>
          </w:p>
        </w:tc>
        <w:tc>
          <w:tcPr>
            <w:tcW w:w="1549" w:type="dxa"/>
            <w:vMerge w:val="continue"/>
            <w:tcBorders>
              <w:left w:val="single" w:color="000000" w:sz="4" w:space="0"/>
              <w:bottom w:val="single" w:color="000000" w:sz="4" w:space="0"/>
              <w:right w:val="single" w:color="000000" w:sz="4" w:space="0"/>
            </w:tcBorders>
            <w:noWrap/>
            <w:vAlign w:val="center"/>
          </w:tcPr>
          <w:p w14:paraId="0AE90C62">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6480" w:type="dxa"/>
            <w:tcBorders>
              <w:top w:val="single" w:color="auto" w:sz="4" w:space="0"/>
              <w:left w:val="single" w:color="000000" w:sz="4" w:space="0"/>
              <w:bottom w:val="single" w:color="auto" w:sz="4" w:space="0"/>
              <w:right w:val="single" w:color="000000" w:sz="4" w:space="0"/>
            </w:tcBorders>
            <w:noWrap w:val="0"/>
            <w:vAlign w:val="center"/>
          </w:tcPr>
          <w:p w14:paraId="573AD62F">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 xml:space="preserve">5、显卡 ≥集成显卡 </w:t>
            </w:r>
          </w:p>
        </w:tc>
        <w:tc>
          <w:tcPr>
            <w:tcW w:w="731" w:type="dxa"/>
            <w:vMerge w:val="continue"/>
            <w:tcBorders>
              <w:left w:val="single" w:color="000000" w:sz="4" w:space="0"/>
              <w:bottom w:val="single" w:color="000000" w:sz="4" w:space="0"/>
              <w:right w:val="single" w:color="000000" w:sz="4" w:space="0"/>
            </w:tcBorders>
            <w:noWrap/>
            <w:vAlign w:val="center"/>
          </w:tcPr>
          <w:p w14:paraId="193DAAB2">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774" w:type="dxa"/>
            <w:vMerge w:val="continue"/>
            <w:tcBorders>
              <w:left w:val="single" w:color="000000" w:sz="4" w:space="0"/>
              <w:bottom w:val="single" w:color="000000" w:sz="4" w:space="0"/>
              <w:right w:val="single" w:color="000000" w:sz="4" w:space="0"/>
            </w:tcBorders>
            <w:noWrap/>
            <w:vAlign w:val="center"/>
          </w:tcPr>
          <w:p w14:paraId="1B77902C">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1357" w:type="dxa"/>
            <w:tcBorders>
              <w:top w:val="single" w:color="auto" w:sz="4" w:space="0"/>
              <w:left w:val="single" w:color="000000" w:sz="4" w:space="0"/>
              <w:bottom w:val="single" w:color="auto" w:sz="4" w:space="0"/>
              <w:right w:val="single" w:color="auto" w:sz="4" w:space="0"/>
            </w:tcBorders>
            <w:noWrap w:val="0"/>
            <w:vAlign w:val="center"/>
          </w:tcPr>
          <w:p w14:paraId="46FD4E0B">
            <w:pPr>
              <w:rPr>
                <w:rFonts w:hint="eastAsia" w:ascii="宋体" w:hAnsi="宋体" w:eastAsia="宋体" w:cs="宋体"/>
                <w:color w:val="auto"/>
                <w:sz w:val="22"/>
                <w:szCs w:val="22"/>
                <w:highlight w:val="none"/>
              </w:rPr>
            </w:pPr>
          </w:p>
        </w:tc>
        <w:tc>
          <w:tcPr>
            <w:tcW w:w="1241" w:type="dxa"/>
            <w:vMerge w:val="continue"/>
            <w:tcBorders>
              <w:left w:val="single" w:color="auto" w:sz="4" w:space="0"/>
              <w:bottom w:val="single" w:color="000000" w:sz="4" w:space="0"/>
              <w:right w:val="single" w:color="auto" w:sz="4" w:space="0"/>
            </w:tcBorders>
            <w:noWrap w:val="0"/>
            <w:vAlign w:val="center"/>
          </w:tcPr>
          <w:p w14:paraId="1AD86031">
            <w:pPr>
              <w:rPr>
                <w:rFonts w:hint="eastAsia" w:ascii="宋体" w:hAnsi="宋体" w:eastAsia="宋体" w:cs="宋体"/>
                <w:color w:val="auto"/>
                <w:sz w:val="22"/>
                <w:szCs w:val="22"/>
                <w:highlight w:val="none"/>
              </w:rPr>
            </w:pPr>
          </w:p>
        </w:tc>
        <w:tc>
          <w:tcPr>
            <w:tcW w:w="1763" w:type="dxa"/>
            <w:vMerge w:val="continue"/>
            <w:tcBorders>
              <w:left w:val="single" w:color="auto" w:sz="4" w:space="0"/>
              <w:bottom w:val="single" w:color="000000" w:sz="4" w:space="0"/>
              <w:right w:val="single" w:color="000000" w:sz="4" w:space="0"/>
            </w:tcBorders>
            <w:noWrap w:val="0"/>
            <w:vAlign w:val="center"/>
          </w:tcPr>
          <w:p w14:paraId="6745B411">
            <w:pPr>
              <w:rPr>
                <w:rFonts w:hint="eastAsia" w:ascii="宋体" w:hAnsi="宋体" w:eastAsia="宋体" w:cs="宋体"/>
                <w:color w:val="auto"/>
                <w:sz w:val="22"/>
                <w:szCs w:val="22"/>
                <w:highlight w:val="none"/>
              </w:rPr>
            </w:pPr>
          </w:p>
        </w:tc>
      </w:tr>
      <w:tr w14:paraId="79801128">
        <w:tblPrEx>
          <w:tblCellMar>
            <w:top w:w="0" w:type="dxa"/>
            <w:left w:w="108" w:type="dxa"/>
            <w:bottom w:w="0" w:type="dxa"/>
            <w:right w:w="108" w:type="dxa"/>
          </w:tblCellMar>
        </w:tblPrEx>
        <w:trPr>
          <w:trHeight w:val="390" w:hRule="atLeast"/>
          <w:jc w:val="center"/>
        </w:trPr>
        <w:tc>
          <w:tcPr>
            <w:tcW w:w="647" w:type="dxa"/>
            <w:vMerge w:val="continue"/>
            <w:tcBorders>
              <w:left w:val="single" w:color="000000" w:sz="4" w:space="0"/>
              <w:bottom w:val="single" w:color="000000" w:sz="4" w:space="0"/>
              <w:right w:val="single" w:color="000000" w:sz="4" w:space="0"/>
            </w:tcBorders>
            <w:noWrap/>
            <w:vAlign w:val="center"/>
          </w:tcPr>
          <w:p w14:paraId="4CD4D73C">
            <w:pPr>
              <w:jc w:val="center"/>
              <w:textAlignment w:val="center"/>
              <w:rPr>
                <w:rFonts w:hint="eastAsia" w:ascii="宋体" w:hAnsi="宋体" w:eastAsia="宋体" w:cs="宋体"/>
                <w:color w:val="auto"/>
                <w:sz w:val="18"/>
                <w:szCs w:val="18"/>
                <w:highlight w:val="none"/>
                <w:lang w:bidi="ar"/>
              </w:rPr>
            </w:pPr>
          </w:p>
        </w:tc>
        <w:tc>
          <w:tcPr>
            <w:tcW w:w="1549" w:type="dxa"/>
            <w:vMerge w:val="continue"/>
            <w:tcBorders>
              <w:left w:val="single" w:color="000000" w:sz="4" w:space="0"/>
              <w:bottom w:val="single" w:color="000000" w:sz="4" w:space="0"/>
              <w:right w:val="single" w:color="000000" w:sz="4" w:space="0"/>
            </w:tcBorders>
            <w:noWrap/>
            <w:vAlign w:val="center"/>
          </w:tcPr>
          <w:p w14:paraId="332D4F10">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6480" w:type="dxa"/>
            <w:tcBorders>
              <w:top w:val="single" w:color="auto" w:sz="4" w:space="0"/>
              <w:left w:val="single" w:color="000000" w:sz="4" w:space="0"/>
              <w:bottom w:val="single" w:color="auto" w:sz="4" w:space="0"/>
              <w:right w:val="single" w:color="000000" w:sz="4" w:space="0"/>
            </w:tcBorders>
            <w:noWrap w:val="0"/>
            <w:vAlign w:val="center"/>
          </w:tcPr>
          <w:p w14:paraId="745BFA80">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6、网卡：板载千兆网卡；</w:t>
            </w:r>
          </w:p>
        </w:tc>
        <w:tc>
          <w:tcPr>
            <w:tcW w:w="731" w:type="dxa"/>
            <w:vMerge w:val="continue"/>
            <w:tcBorders>
              <w:left w:val="single" w:color="000000" w:sz="4" w:space="0"/>
              <w:bottom w:val="single" w:color="000000" w:sz="4" w:space="0"/>
              <w:right w:val="single" w:color="000000" w:sz="4" w:space="0"/>
            </w:tcBorders>
            <w:noWrap/>
            <w:vAlign w:val="center"/>
          </w:tcPr>
          <w:p w14:paraId="6C71479A">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774" w:type="dxa"/>
            <w:vMerge w:val="continue"/>
            <w:tcBorders>
              <w:left w:val="single" w:color="000000" w:sz="4" w:space="0"/>
              <w:bottom w:val="single" w:color="000000" w:sz="4" w:space="0"/>
              <w:right w:val="single" w:color="000000" w:sz="4" w:space="0"/>
            </w:tcBorders>
            <w:noWrap/>
            <w:vAlign w:val="center"/>
          </w:tcPr>
          <w:p w14:paraId="742C853E">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1357" w:type="dxa"/>
            <w:tcBorders>
              <w:top w:val="single" w:color="auto" w:sz="4" w:space="0"/>
              <w:left w:val="single" w:color="000000" w:sz="4" w:space="0"/>
              <w:bottom w:val="single" w:color="auto" w:sz="4" w:space="0"/>
              <w:right w:val="single" w:color="auto" w:sz="4" w:space="0"/>
            </w:tcBorders>
            <w:noWrap w:val="0"/>
            <w:vAlign w:val="center"/>
          </w:tcPr>
          <w:p w14:paraId="08953131">
            <w:pPr>
              <w:rPr>
                <w:rFonts w:hint="eastAsia" w:ascii="宋体" w:hAnsi="宋体" w:eastAsia="宋体" w:cs="宋体"/>
                <w:color w:val="auto"/>
                <w:sz w:val="22"/>
                <w:szCs w:val="22"/>
                <w:highlight w:val="none"/>
              </w:rPr>
            </w:pPr>
          </w:p>
        </w:tc>
        <w:tc>
          <w:tcPr>
            <w:tcW w:w="1241" w:type="dxa"/>
            <w:vMerge w:val="continue"/>
            <w:tcBorders>
              <w:left w:val="single" w:color="auto" w:sz="4" w:space="0"/>
              <w:bottom w:val="single" w:color="000000" w:sz="4" w:space="0"/>
              <w:right w:val="single" w:color="auto" w:sz="4" w:space="0"/>
            </w:tcBorders>
            <w:noWrap w:val="0"/>
            <w:vAlign w:val="center"/>
          </w:tcPr>
          <w:p w14:paraId="7E878A45">
            <w:pPr>
              <w:rPr>
                <w:rFonts w:hint="eastAsia" w:ascii="宋体" w:hAnsi="宋体" w:eastAsia="宋体" w:cs="宋体"/>
                <w:color w:val="auto"/>
                <w:sz w:val="22"/>
                <w:szCs w:val="22"/>
                <w:highlight w:val="none"/>
              </w:rPr>
            </w:pPr>
          </w:p>
        </w:tc>
        <w:tc>
          <w:tcPr>
            <w:tcW w:w="1763" w:type="dxa"/>
            <w:vMerge w:val="continue"/>
            <w:tcBorders>
              <w:left w:val="single" w:color="auto" w:sz="4" w:space="0"/>
              <w:bottom w:val="single" w:color="000000" w:sz="4" w:space="0"/>
              <w:right w:val="single" w:color="000000" w:sz="4" w:space="0"/>
            </w:tcBorders>
            <w:noWrap w:val="0"/>
            <w:vAlign w:val="center"/>
          </w:tcPr>
          <w:p w14:paraId="09B3A688">
            <w:pPr>
              <w:rPr>
                <w:rFonts w:hint="eastAsia" w:ascii="宋体" w:hAnsi="宋体" w:eastAsia="宋体" w:cs="宋体"/>
                <w:color w:val="auto"/>
                <w:sz w:val="22"/>
                <w:szCs w:val="22"/>
                <w:highlight w:val="none"/>
              </w:rPr>
            </w:pPr>
          </w:p>
        </w:tc>
      </w:tr>
      <w:tr w14:paraId="03D71C9C">
        <w:tblPrEx>
          <w:tblCellMar>
            <w:top w:w="0" w:type="dxa"/>
            <w:left w:w="108" w:type="dxa"/>
            <w:bottom w:w="0" w:type="dxa"/>
            <w:right w:w="108" w:type="dxa"/>
          </w:tblCellMar>
        </w:tblPrEx>
        <w:trPr>
          <w:trHeight w:val="390" w:hRule="atLeast"/>
          <w:jc w:val="center"/>
        </w:trPr>
        <w:tc>
          <w:tcPr>
            <w:tcW w:w="647" w:type="dxa"/>
            <w:vMerge w:val="continue"/>
            <w:tcBorders>
              <w:left w:val="single" w:color="000000" w:sz="4" w:space="0"/>
              <w:bottom w:val="single" w:color="000000" w:sz="4" w:space="0"/>
              <w:right w:val="single" w:color="000000" w:sz="4" w:space="0"/>
            </w:tcBorders>
            <w:noWrap/>
            <w:vAlign w:val="center"/>
          </w:tcPr>
          <w:p w14:paraId="12F035F2">
            <w:pPr>
              <w:jc w:val="center"/>
              <w:textAlignment w:val="center"/>
              <w:rPr>
                <w:rFonts w:hint="eastAsia" w:ascii="宋体" w:hAnsi="宋体" w:eastAsia="宋体" w:cs="宋体"/>
                <w:color w:val="auto"/>
                <w:sz w:val="18"/>
                <w:szCs w:val="18"/>
                <w:highlight w:val="none"/>
                <w:lang w:bidi="ar"/>
              </w:rPr>
            </w:pPr>
          </w:p>
        </w:tc>
        <w:tc>
          <w:tcPr>
            <w:tcW w:w="1549" w:type="dxa"/>
            <w:vMerge w:val="continue"/>
            <w:tcBorders>
              <w:left w:val="single" w:color="000000" w:sz="4" w:space="0"/>
              <w:bottom w:val="single" w:color="000000" w:sz="4" w:space="0"/>
              <w:right w:val="single" w:color="000000" w:sz="4" w:space="0"/>
            </w:tcBorders>
            <w:noWrap/>
            <w:vAlign w:val="center"/>
          </w:tcPr>
          <w:p w14:paraId="6E1C1E72">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6480" w:type="dxa"/>
            <w:tcBorders>
              <w:top w:val="single" w:color="auto" w:sz="4" w:space="0"/>
              <w:left w:val="single" w:color="000000" w:sz="4" w:space="0"/>
              <w:bottom w:val="single" w:color="auto" w:sz="4" w:space="0"/>
              <w:right w:val="single" w:color="000000" w:sz="4" w:space="0"/>
            </w:tcBorders>
            <w:noWrap w:val="0"/>
            <w:vAlign w:val="center"/>
          </w:tcPr>
          <w:p w14:paraId="610C91B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7、声卡：集成</w:t>
            </w:r>
          </w:p>
        </w:tc>
        <w:tc>
          <w:tcPr>
            <w:tcW w:w="731" w:type="dxa"/>
            <w:vMerge w:val="continue"/>
            <w:tcBorders>
              <w:left w:val="single" w:color="000000" w:sz="4" w:space="0"/>
              <w:bottom w:val="single" w:color="000000" w:sz="4" w:space="0"/>
              <w:right w:val="single" w:color="000000" w:sz="4" w:space="0"/>
            </w:tcBorders>
            <w:noWrap/>
            <w:vAlign w:val="center"/>
          </w:tcPr>
          <w:p w14:paraId="5B2CC6CA">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774" w:type="dxa"/>
            <w:vMerge w:val="continue"/>
            <w:tcBorders>
              <w:left w:val="single" w:color="000000" w:sz="4" w:space="0"/>
              <w:bottom w:val="single" w:color="000000" w:sz="4" w:space="0"/>
              <w:right w:val="single" w:color="000000" w:sz="4" w:space="0"/>
            </w:tcBorders>
            <w:noWrap/>
            <w:vAlign w:val="center"/>
          </w:tcPr>
          <w:p w14:paraId="502B18BB">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1357" w:type="dxa"/>
            <w:tcBorders>
              <w:top w:val="single" w:color="auto" w:sz="4" w:space="0"/>
              <w:left w:val="single" w:color="000000" w:sz="4" w:space="0"/>
              <w:bottom w:val="single" w:color="auto" w:sz="4" w:space="0"/>
              <w:right w:val="single" w:color="auto" w:sz="4" w:space="0"/>
            </w:tcBorders>
            <w:noWrap w:val="0"/>
            <w:vAlign w:val="center"/>
          </w:tcPr>
          <w:p w14:paraId="4074E65B">
            <w:pPr>
              <w:rPr>
                <w:rFonts w:hint="eastAsia" w:ascii="宋体" w:hAnsi="宋体" w:eastAsia="宋体" w:cs="宋体"/>
                <w:color w:val="auto"/>
                <w:sz w:val="22"/>
                <w:szCs w:val="22"/>
                <w:highlight w:val="none"/>
              </w:rPr>
            </w:pPr>
          </w:p>
        </w:tc>
        <w:tc>
          <w:tcPr>
            <w:tcW w:w="1241" w:type="dxa"/>
            <w:vMerge w:val="continue"/>
            <w:tcBorders>
              <w:left w:val="single" w:color="auto" w:sz="4" w:space="0"/>
              <w:bottom w:val="single" w:color="000000" w:sz="4" w:space="0"/>
              <w:right w:val="single" w:color="auto" w:sz="4" w:space="0"/>
            </w:tcBorders>
            <w:noWrap w:val="0"/>
            <w:vAlign w:val="center"/>
          </w:tcPr>
          <w:p w14:paraId="5CF9462B">
            <w:pPr>
              <w:rPr>
                <w:rFonts w:hint="eastAsia" w:ascii="宋体" w:hAnsi="宋体" w:eastAsia="宋体" w:cs="宋体"/>
                <w:color w:val="auto"/>
                <w:sz w:val="22"/>
                <w:szCs w:val="22"/>
                <w:highlight w:val="none"/>
              </w:rPr>
            </w:pPr>
          </w:p>
        </w:tc>
        <w:tc>
          <w:tcPr>
            <w:tcW w:w="1763" w:type="dxa"/>
            <w:vMerge w:val="continue"/>
            <w:tcBorders>
              <w:left w:val="single" w:color="auto" w:sz="4" w:space="0"/>
              <w:bottom w:val="single" w:color="000000" w:sz="4" w:space="0"/>
              <w:right w:val="single" w:color="000000" w:sz="4" w:space="0"/>
            </w:tcBorders>
            <w:noWrap w:val="0"/>
            <w:vAlign w:val="center"/>
          </w:tcPr>
          <w:p w14:paraId="5182E7C1">
            <w:pPr>
              <w:rPr>
                <w:rFonts w:hint="eastAsia" w:ascii="宋体" w:hAnsi="宋体" w:eastAsia="宋体" w:cs="宋体"/>
                <w:color w:val="auto"/>
                <w:sz w:val="22"/>
                <w:szCs w:val="22"/>
                <w:highlight w:val="none"/>
              </w:rPr>
            </w:pPr>
          </w:p>
        </w:tc>
      </w:tr>
      <w:tr w14:paraId="35DCCE91">
        <w:tblPrEx>
          <w:tblCellMar>
            <w:top w:w="0" w:type="dxa"/>
            <w:left w:w="108" w:type="dxa"/>
            <w:bottom w:w="0" w:type="dxa"/>
            <w:right w:w="108" w:type="dxa"/>
          </w:tblCellMar>
        </w:tblPrEx>
        <w:trPr>
          <w:trHeight w:val="503" w:hRule="atLeast"/>
          <w:jc w:val="center"/>
        </w:trPr>
        <w:tc>
          <w:tcPr>
            <w:tcW w:w="647" w:type="dxa"/>
            <w:vMerge w:val="continue"/>
            <w:tcBorders>
              <w:left w:val="single" w:color="000000" w:sz="4" w:space="0"/>
              <w:bottom w:val="single" w:color="000000" w:sz="4" w:space="0"/>
              <w:right w:val="single" w:color="000000" w:sz="4" w:space="0"/>
            </w:tcBorders>
            <w:noWrap/>
            <w:vAlign w:val="center"/>
          </w:tcPr>
          <w:p w14:paraId="08F2A22A">
            <w:pPr>
              <w:jc w:val="center"/>
              <w:textAlignment w:val="center"/>
              <w:rPr>
                <w:rFonts w:hint="eastAsia" w:ascii="宋体" w:hAnsi="宋体" w:eastAsia="宋体" w:cs="宋体"/>
                <w:color w:val="auto"/>
                <w:sz w:val="18"/>
                <w:szCs w:val="18"/>
                <w:highlight w:val="none"/>
                <w:lang w:bidi="ar"/>
              </w:rPr>
            </w:pPr>
          </w:p>
        </w:tc>
        <w:tc>
          <w:tcPr>
            <w:tcW w:w="1549" w:type="dxa"/>
            <w:vMerge w:val="continue"/>
            <w:tcBorders>
              <w:left w:val="single" w:color="000000" w:sz="4" w:space="0"/>
              <w:bottom w:val="single" w:color="000000" w:sz="4" w:space="0"/>
              <w:right w:val="single" w:color="000000" w:sz="4" w:space="0"/>
            </w:tcBorders>
            <w:noWrap/>
            <w:vAlign w:val="center"/>
          </w:tcPr>
          <w:p w14:paraId="32E281CC">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6480" w:type="dxa"/>
            <w:tcBorders>
              <w:top w:val="single" w:color="auto" w:sz="4" w:space="0"/>
              <w:left w:val="single" w:color="000000" w:sz="4" w:space="0"/>
              <w:bottom w:val="single" w:color="auto" w:sz="4" w:space="0"/>
              <w:right w:val="single" w:color="000000" w:sz="4" w:space="0"/>
            </w:tcBorders>
            <w:noWrap w:val="0"/>
            <w:vAlign w:val="center"/>
          </w:tcPr>
          <w:p w14:paraId="4BD27E2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8、IO接口 前置：USB3.0接口*2，USB2.0接口*2，麦克风接口*1，耳机接口*1</w:t>
            </w:r>
          </w:p>
        </w:tc>
        <w:tc>
          <w:tcPr>
            <w:tcW w:w="731" w:type="dxa"/>
            <w:vMerge w:val="continue"/>
            <w:tcBorders>
              <w:left w:val="single" w:color="000000" w:sz="4" w:space="0"/>
              <w:bottom w:val="single" w:color="000000" w:sz="4" w:space="0"/>
              <w:right w:val="single" w:color="000000" w:sz="4" w:space="0"/>
            </w:tcBorders>
            <w:noWrap/>
            <w:vAlign w:val="center"/>
          </w:tcPr>
          <w:p w14:paraId="54D2BA09">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774" w:type="dxa"/>
            <w:vMerge w:val="continue"/>
            <w:tcBorders>
              <w:left w:val="single" w:color="000000" w:sz="4" w:space="0"/>
              <w:bottom w:val="single" w:color="000000" w:sz="4" w:space="0"/>
              <w:right w:val="single" w:color="000000" w:sz="4" w:space="0"/>
            </w:tcBorders>
            <w:noWrap/>
            <w:vAlign w:val="center"/>
          </w:tcPr>
          <w:p w14:paraId="13E8C9CD">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1357" w:type="dxa"/>
            <w:tcBorders>
              <w:top w:val="single" w:color="auto" w:sz="4" w:space="0"/>
              <w:left w:val="single" w:color="000000" w:sz="4" w:space="0"/>
              <w:bottom w:val="single" w:color="auto" w:sz="4" w:space="0"/>
              <w:right w:val="single" w:color="auto" w:sz="4" w:space="0"/>
            </w:tcBorders>
            <w:noWrap w:val="0"/>
            <w:vAlign w:val="center"/>
          </w:tcPr>
          <w:p w14:paraId="39FECA91">
            <w:pPr>
              <w:rPr>
                <w:rFonts w:hint="eastAsia" w:ascii="宋体" w:hAnsi="宋体" w:eastAsia="宋体" w:cs="宋体"/>
                <w:color w:val="auto"/>
                <w:sz w:val="22"/>
                <w:szCs w:val="22"/>
                <w:highlight w:val="none"/>
              </w:rPr>
            </w:pPr>
          </w:p>
        </w:tc>
        <w:tc>
          <w:tcPr>
            <w:tcW w:w="1241" w:type="dxa"/>
            <w:vMerge w:val="continue"/>
            <w:tcBorders>
              <w:left w:val="single" w:color="auto" w:sz="4" w:space="0"/>
              <w:bottom w:val="single" w:color="000000" w:sz="4" w:space="0"/>
              <w:right w:val="single" w:color="auto" w:sz="4" w:space="0"/>
            </w:tcBorders>
            <w:noWrap w:val="0"/>
            <w:vAlign w:val="center"/>
          </w:tcPr>
          <w:p w14:paraId="50332EF4">
            <w:pPr>
              <w:rPr>
                <w:rFonts w:hint="eastAsia" w:ascii="宋体" w:hAnsi="宋体" w:eastAsia="宋体" w:cs="宋体"/>
                <w:color w:val="auto"/>
                <w:sz w:val="22"/>
                <w:szCs w:val="22"/>
                <w:highlight w:val="none"/>
              </w:rPr>
            </w:pPr>
          </w:p>
        </w:tc>
        <w:tc>
          <w:tcPr>
            <w:tcW w:w="1763" w:type="dxa"/>
            <w:vMerge w:val="continue"/>
            <w:tcBorders>
              <w:left w:val="single" w:color="auto" w:sz="4" w:space="0"/>
              <w:bottom w:val="single" w:color="000000" w:sz="4" w:space="0"/>
              <w:right w:val="single" w:color="000000" w:sz="4" w:space="0"/>
            </w:tcBorders>
            <w:noWrap w:val="0"/>
            <w:vAlign w:val="center"/>
          </w:tcPr>
          <w:p w14:paraId="219DDDE6">
            <w:pPr>
              <w:rPr>
                <w:rFonts w:hint="eastAsia" w:ascii="宋体" w:hAnsi="宋体" w:eastAsia="宋体" w:cs="宋体"/>
                <w:color w:val="auto"/>
                <w:sz w:val="22"/>
                <w:szCs w:val="22"/>
                <w:highlight w:val="none"/>
              </w:rPr>
            </w:pPr>
          </w:p>
        </w:tc>
      </w:tr>
      <w:tr w14:paraId="522ED7C0">
        <w:tblPrEx>
          <w:tblCellMar>
            <w:top w:w="0" w:type="dxa"/>
            <w:left w:w="108" w:type="dxa"/>
            <w:bottom w:w="0" w:type="dxa"/>
            <w:right w:w="108" w:type="dxa"/>
          </w:tblCellMar>
        </w:tblPrEx>
        <w:trPr>
          <w:trHeight w:val="415" w:hRule="atLeast"/>
          <w:jc w:val="center"/>
        </w:trPr>
        <w:tc>
          <w:tcPr>
            <w:tcW w:w="647" w:type="dxa"/>
            <w:vMerge w:val="continue"/>
            <w:tcBorders>
              <w:left w:val="single" w:color="000000" w:sz="4" w:space="0"/>
              <w:bottom w:val="single" w:color="000000" w:sz="4" w:space="0"/>
              <w:right w:val="single" w:color="000000" w:sz="4" w:space="0"/>
            </w:tcBorders>
            <w:noWrap/>
            <w:vAlign w:val="center"/>
          </w:tcPr>
          <w:p w14:paraId="3E52FF45">
            <w:pPr>
              <w:jc w:val="center"/>
              <w:textAlignment w:val="center"/>
              <w:rPr>
                <w:rFonts w:hint="eastAsia" w:ascii="宋体" w:hAnsi="宋体" w:eastAsia="宋体" w:cs="宋体"/>
                <w:color w:val="auto"/>
                <w:sz w:val="18"/>
                <w:szCs w:val="18"/>
                <w:highlight w:val="none"/>
                <w:lang w:bidi="ar"/>
              </w:rPr>
            </w:pPr>
          </w:p>
        </w:tc>
        <w:tc>
          <w:tcPr>
            <w:tcW w:w="1549" w:type="dxa"/>
            <w:vMerge w:val="continue"/>
            <w:tcBorders>
              <w:left w:val="single" w:color="000000" w:sz="4" w:space="0"/>
              <w:bottom w:val="single" w:color="000000" w:sz="4" w:space="0"/>
              <w:right w:val="single" w:color="000000" w:sz="4" w:space="0"/>
            </w:tcBorders>
            <w:noWrap/>
            <w:vAlign w:val="center"/>
          </w:tcPr>
          <w:p w14:paraId="29FCB7A7">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6480" w:type="dxa"/>
            <w:tcBorders>
              <w:top w:val="single" w:color="auto" w:sz="4" w:space="0"/>
              <w:left w:val="single" w:color="000000" w:sz="4" w:space="0"/>
              <w:bottom w:val="single" w:color="auto" w:sz="4" w:space="0"/>
              <w:right w:val="single" w:color="000000" w:sz="4" w:space="0"/>
            </w:tcBorders>
            <w:noWrap w:val="0"/>
            <w:vAlign w:val="center"/>
          </w:tcPr>
          <w:p w14:paraId="4AF3FB89">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9、后置：USB3.2接口*4，USB2.0接口*2， PS/2接口*1，RJ45网络接口*1，音频接口*1组， HDMI接口*1，VGA接口*1；</w:t>
            </w:r>
          </w:p>
        </w:tc>
        <w:tc>
          <w:tcPr>
            <w:tcW w:w="731" w:type="dxa"/>
            <w:vMerge w:val="continue"/>
            <w:tcBorders>
              <w:left w:val="single" w:color="000000" w:sz="4" w:space="0"/>
              <w:bottom w:val="single" w:color="000000" w:sz="4" w:space="0"/>
              <w:right w:val="single" w:color="000000" w:sz="4" w:space="0"/>
            </w:tcBorders>
            <w:noWrap/>
            <w:vAlign w:val="center"/>
          </w:tcPr>
          <w:p w14:paraId="1CF7E4D3">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774" w:type="dxa"/>
            <w:vMerge w:val="continue"/>
            <w:tcBorders>
              <w:left w:val="single" w:color="000000" w:sz="4" w:space="0"/>
              <w:bottom w:val="single" w:color="000000" w:sz="4" w:space="0"/>
              <w:right w:val="single" w:color="000000" w:sz="4" w:space="0"/>
            </w:tcBorders>
            <w:noWrap/>
            <w:vAlign w:val="center"/>
          </w:tcPr>
          <w:p w14:paraId="7EA5963D">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1357" w:type="dxa"/>
            <w:tcBorders>
              <w:top w:val="single" w:color="auto" w:sz="4" w:space="0"/>
              <w:left w:val="single" w:color="000000" w:sz="4" w:space="0"/>
              <w:bottom w:val="single" w:color="auto" w:sz="4" w:space="0"/>
              <w:right w:val="single" w:color="auto" w:sz="4" w:space="0"/>
            </w:tcBorders>
            <w:noWrap w:val="0"/>
            <w:vAlign w:val="center"/>
          </w:tcPr>
          <w:p w14:paraId="24DEF3E0">
            <w:pPr>
              <w:rPr>
                <w:rFonts w:hint="eastAsia" w:ascii="宋体" w:hAnsi="宋体" w:eastAsia="宋体" w:cs="宋体"/>
                <w:color w:val="auto"/>
                <w:sz w:val="22"/>
                <w:szCs w:val="22"/>
                <w:highlight w:val="none"/>
              </w:rPr>
            </w:pPr>
          </w:p>
        </w:tc>
        <w:tc>
          <w:tcPr>
            <w:tcW w:w="1241" w:type="dxa"/>
            <w:vMerge w:val="continue"/>
            <w:tcBorders>
              <w:left w:val="single" w:color="auto" w:sz="4" w:space="0"/>
              <w:bottom w:val="single" w:color="000000" w:sz="4" w:space="0"/>
              <w:right w:val="single" w:color="auto" w:sz="4" w:space="0"/>
            </w:tcBorders>
            <w:noWrap w:val="0"/>
            <w:vAlign w:val="center"/>
          </w:tcPr>
          <w:p w14:paraId="47BFA0CE">
            <w:pPr>
              <w:rPr>
                <w:rFonts w:hint="eastAsia" w:ascii="宋体" w:hAnsi="宋体" w:eastAsia="宋体" w:cs="宋体"/>
                <w:color w:val="auto"/>
                <w:sz w:val="22"/>
                <w:szCs w:val="22"/>
                <w:highlight w:val="none"/>
              </w:rPr>
            </w:pPr>
          </w:p>
        </w:tc>
        <w:tc>
          <w:tcPr>
            <w:tcW w:w="1763" w:type="dxa"/>
            <w:vMerge w:val="continue"/>
            <w:tcBorders>
              <w:left w:val="single" w:color="auto" w:sz="4" w:space="0"/>
              <w:bottom w:val="single" w:color="000000" w:sz="4" w:space="0"/>
              <w:right w:val="single" w:color="000000" w:sz="4" w:space="0"/>
            </w:tcBorders>
            <w:noWrap w:val="0"/>
            <w:vAlign w:val="center"/>
          </w:tcPr>
          <w:p w14:paraId="60C0462C">
            <w:pPr>
              <w:rPr>
                <w:rFonts w:hint="eastAsia" w:ascii="宋体" w:hAnsi="宋体" w:eastAsia="宋体" w:cs="宋体"/>
                <w:color w:val="auto"/>
                <w:sz w:val="22"/>
                <w:szCs w:val="22"/>
                <w:highlight w:val="none"/>
              </w:rPr>
            </w:pPr>
          </w:p>
        </w:tc>
      </w:tr>
      <w:tr w14:paraId="630E2240">
        <w:tblPrEx>
          <w:tblCellMar>
            <w:top w:w="0" w:type="dxa"/>
            <w:left w:w="108" w:type="dxa"/>
            <w:bottom w:w="0" w:type="dxa"/>
            <w:right w:w="108" w:type="dxa"/>
          </w:tblCellMar>
        </w:tblPrEx>
        <w:trPr>
          <w:trHeight w:val="502" w:hRule="atLeast"/>
          <w:jc w:val="center"/>
        </w:trPr>
        <w:tc>
          <w:tcPr>
            <w:tcW w:w="647" w:type="dxa"/>
            <w:vMerge w:val="continue"/>
            <w:tcBorders>
              <w:left w:val="single" w:color="000000" w:sz="4" w:space="0"/>
              <w:bottom w:val="single" w:color="000000" w:sz="4" w:space="0"/>
              <w:right w:val="single" w:color="000000" w:sz="4" w:space="0"/>
            </w:tcBorders>
            <w:noWrap/>
            <w:vAlign w:val="center"/>
          </w:tcPr>
          <w:p w14:paraId="66C23920">
            <w:pPr>
              <w:jc w:val="center"/>
              <w:textAlignment w:val="center"/>
              <w:rPr>
                <w:rFonts w:hint="eastAsia" w:ascii="宋体" w:hAnsi="宋体" w:eastAsia="宋体" w:cs="宋体"/>
                <w:color w:val="auto"/>
                <w:sz w:val="18"/>
                <w:szCs w:val="18"/>
                <w:highlight w:val="none"/>
                <w:lang w:bidi="ar"/>
              </w:rPr>
            </w:pPr>
          </w:p>
        </w:tc>
        <w:tc>
          <w:tcPr>
            <w:tcW w:w="1549" w:type="dxa"/>
            <w:vMerge w:val="continue"/>
            <w:tcBorders>
              <w:left w:val="single" w:color="000000" w:sz="4" w:space="0"/>
              <w:bottom w:val="single" w:color="000000" w:sz="4" w:space="0"/>
              <w:right w:val="single" w:color="000000" w:sz="4" w:space="0"/>
            </w:tcBorders>
            <w:noWrap/>
            <w:vAlign w:val="center"/>
          </w:tcPr>
          <w:p w14:paraId="645299CE">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6480" w:type="dxa"/>
            <w:tcBorders>
              <w:top w:val="single" w:color="auto" w:sz="4" w:space="0"/>
              <w:left w:val="single" w:color="000000" w:sz="4" w:space="0"/>
              <w:bottom w:val="single" w:color="auto" w:sz="4" w:space="0"/>
              <w:right w:val="single" w:color="000000" w:sz="4" w:space="0"/>
            </w:tcBorders>
            <w:noWrap w:val="0"/>
            <w:vAlign w:val="center"/>
          </w:tcPr>
          <w:p w14:paraId="37C797F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10、电源 ≥500W多路电源  输出插头≥4；</w:t>
            </w:r>
          </w:p>
        </w:tc>
        <w:tc>
          <w:tcPr>
            <w:tcW w:w="731" w:type="dxa"/>
            <w:vMerge w:val="continue"/>
            <w:tcBorders>
              <w:left w:val="single" w:color="000000" w:sz="4" w:space="0"/>
              <w:bottom w:val="single" w:color="000000" w:sz="4" w:space="0"/>
              <w:right w:val="single" w:color="000000" w:sz="4" w:space="0"/>
            </w:tcBorders>
            <w:noWrap/>
            <w:vAlign w:val="center"/>
          </w:tcPr>
          <w:p w14:paraId="24C045F7">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774" w:type="dxa"/>
            <w:vMerge w:val="continue"/>
            <w:tcBorders>
              <w:left w:val="single" w:color="000000" w:sz="4" w:space="0"/>
              <w:bottom w:val="single" w:color="000000" w:sz="4" w:space="0"/>
              <w:right w:val="single" w:color="000000" w:sz="4" w:space="0"/>
            </w:tcBorders>
            <w:noWrap/>
            <w:vAlign w:val="center"/>
          </w:tcPr>
          <w:p w14:paraId="70030C0C">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1357" w:type="dxa"/>
            <w:tcBorders>
              <w:top w:val="single" w:color="auto" w:sz="4" w:space="0"/>
              <w:left w:val="single" w:color="000000" w:sz="4" w:space="0"/>
              <w:bottom w:val="single" w:color="auto" w:sz="4" w:space="0"/>
              <w:right w:val="single" w:color="auto" w:sz="4" w:space="0"/>
            </w:tcBorders>
            <w:noWrap w:val="0"/>
            <w:vAlign w:val="center"/>
          </w:tcPr>
          <w:p w14:paraId="1BFD88BF">
            <w:pPr>
              <w:rPr>
                <w:rFonts w:hint="eastAsia" w:ascii="宋体" w:hAnsi="宋体" w:eastAsia="宋体" w:cs="宋体"/>
                <w:color w:val="auto"/>
                <w:sz w:val="22"/>
                <w:szCs w:val="22"/>
                <w:highlight w:val="none"/>
              </w:rPr>
            </w:pPr>
          </w:p>
        </w:tc>
        <w:tc>
          <w:tcPr>
            <w:tcW w:w="1241" w:type="dxa"/>
            <w:vMerge w:val="continue"/>
            <w:tcBorders>
              <w:left w:val="single" w:color="auto" w:sz="4" w:space="0"/>
              <w:bottom w:val="single" w:color="000000" w:sz="4" w:space="0"/>
              <w:right w:val="single" w:color="auto" w:sz="4" w:space="0"/>
            </w:tcBorders>
            <w:noWrap w:val="0"/>
            <w:vAlign w:val="center"/>
          </w:tcPr>
          <w:p w14:paraId="39C22A7C">
            <w:pPr>
              <w:rPr>
                <w:rFonts w:hint="eastAsia" w:ascii="宋体" w:hAnsi="宋体" w:eastAsia="宋体" w:cs="宋体"/>
                <w:color w:val="auto"/>
                <w:sz w:val="22"/>
                <w:szCs w:val="22"/>
                <w:highlight w:val="none"/>
              </w:rPr>
            </w:pPr>
          </w:p>
        </w:tc>
        <w:tc>
          <w:tcPr>
            <w:tcW w:w="1763" w:type="dxa"/>
            <w:vMerge w:val="continue"/>
            <w:tcBorders>
              <w:left w:val="single" w:color="auto" w:sz="4" w:space="0"/>
              <w:bottom w:val="single" w:color="000000" w:sz="4" w:space="0"/>
              <w:right w:val="single" w:color="000000" w:sz="4" w:space="0"/>
            </w:tcBorders>
            <w:noWrap w:val="0"/>
            <w:vAlign w:val="center"/>
          </w:tcPr>
          <w:p w14:paraId="2F30DF46">
            <w:pPr>
              <w:rPr>
                <w:rFonts w:hint="eastAsia" w:ascii="宋体" w:hAnsi="宋体" w:eastAsia="宋体" w:cs="宋体"/>
                <w:color w:val="auto"/>
                <w:sz w:val="22"/>
                <w:szCs w:val="22"/>
                <w:highlight w:val="none"/>
              </w:rPr>
            </w:pPr>
          </w:p>
        </w:tc>
      </w:tr>
      <w:tr w14:paraId="3D176249">
        <w:tblPrEx>
          <w:tblCellMar>
            <w:top w:w="0" w:type="dxa"/>
            <w:left w:w="108" w:type="dxa"/>
            <w:bottom w:w="0" w:type="dxa"/>
            <w:right w:w="108" w:type="dxa"/>
          </w:tblCellMar>
        </w:tblPrEx>
        <w:trPr>
          <w:trHeight w:val="340" w:hRule="atLeast"/>
          <w:jc w:val="center"/>
        </w:trPr>
        <w:tc>
          <w:tcPr>
            <w:tcW w:w="647" w:type="dxa"/>
            <w:vMerge w:val="continue"/>
            <w:tcBorders>
              <w:left w:val="single" w:color="000000" w:sz="4" w:space="0"/>
              <w:bottom w:val="single" w:color="000000" w:sz="4" w:space="0"/>
              <w:right w:val="single" w:color="000000" w:sz="4" w:space="0"/>
            </w:tcBorders>
            <w:noWrap/>
            <w:vAlign w:val="center"/>
          </w:tcPr>
          <w:p w14:paraId="4947BFB8">
            <w:pPr>
              <w:jc w:val="center"/>
              <w:textAlignment w:val="center"/>
              <w:rPr>
                <w:rFonts w:hint="eastAsia" w:ascii="宋体" w:hAnsi="宋体" w:eastAsia="宋体" w:cs="宋体"/>
                <w:color w:val="auto"/>
                <w:sz w:val="18"/>
                <w:szCs w:val="18"/>
                <w:highlight w:val="none"/>
                <w:lang w:bidi="ar"/>
              </w:rPr>
            </w:pPr>
          </w:p>
        </w:tc>
        <w:tc>
          <w:tcPr>
            <w:tcW w:w="1549" w:type="dxa"/>
            <w:vMerge w:val="continue"/>
            <w:tcBorders>
              <w:left w:val="single" w:color="000000" w:sz="4" w:space="0"/>
              <w:bottom w:val="single" w:color="000000" w:sz="4" w:space="0"/>
              <w:right w:val="single" w:color="000000" w:sz="4" w:space="0"/>
            </w:tcBorders>
            <w:noWrap/>
            <w:vAlign w:val="center"/>
          </w:tcPr>
          <w:p w14:paraId="71DBD4C4">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6480" w:type="dxa"/>
            <w:tcBorders>
              <w:top w:val="single" w:color="auto" w:sz="4" w:space="0"/>
              <w:left w:val="single" w:color="000000" w:sz="4" w:space="0"/>
              <w:bottom w:val="single" w:color="auto" w:sz="4" w:space="0"/>
              <w:right w:val="single" w:color="000000" w:sz="4" w:space="0"/>
            </w:tcBorders>
            <w:noWrap w:val="0"/>
            <w:vAlign w:val="center"/>
          </w:tcPr>
          <w:p w14:paraId="1540D4C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11、机箱：立式机箱≥24L，机箱上部有提手，免工具开启机箱面板，前置I/O，前置电源开关和重启键，机箱后部预留有机箱安全锁位孔。机箱前面板预留标准光驱位和软驱位，便于后续扩展。</w:t>
            </w:r>
          </w:p>
        </w:tc>
        <w:tc>
          <w:tcPr>
            <w:tcW w:w="731" w:type="dxa"/>
            <w:vMerge w:val="continue"/>
            <w:tcBorders>
              <w:left w:val="single" w:color="000000" w:sz="4" w:space="0"/>
              <w:bottom w:val="single" w:color="000000" w:sz="4" w:space="0"/>
              <w:right w:val="single" w:color="000000" w:sz="4" w:space="0"/>
            </w:tcBorders>
            <w:noWrap/>
            <w:vAlign w:val="center"/>
          </w:tcPr>
          <w:p w14:paraId="6A52DD9C">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774" w:type="dxa"/>
            <w:vMerge w:val="continue"/>
            <w:tcBorders>
              <w:left w:val="single" w:color="000000" w:sz="4" w:space="0"/>
              <w:bottom w:val="single" w:color="000000" w:sz="4" w:space="0"/>
              <w:right w:val="single" w:color="000000" w:sz="4" w:space="0"/>
            </w:tcBorders>
            <w:noWrap/>
            <w:vAlign w:val="center"/>
          </w:tcPr>
          <w:p w14:paraId="2C5EF96B">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1357" w:type="dxa"/>
            <w:tcBorders>
              <w:top w:val="single" w:color="auto" w:sz="4" w:space="0"/>
              <w:left w:val="single" w:color="000000" w:sz="4" w:space="0"/>
              <w:bottom w:val="single" w:color="auto" w:sz="4" w:space="0"/>
              <w:right w:val="single" w:color="auto" w:sz="4" w:space="0"/>
            </w:tcBorders>
            <w:noWrap w:val="0"/>
            <w:vAlign w:val="center"/>
          </w:tcPr>
          <w:p w14:paraId="7C3CFDC4">
            <w:pPr>
              <w:rPr>
                <w:rFonts w:hint="eastAsia" w:ascii="宋体" w:hAnsi="宋体" w:eastAsia="宋体" w:cs="宋体"/>
                <w:color w:val="auto"/>
                <w:sz w:val="22"/>
                <w:szCs w:val="22"/>
                <w:highlight w:val="none"/>
              </w:rPr>
            </w:pPr>
          </w:p>
        </w:tc>
        <w:tc>
          <w:tcPr>
            <w:tcW w:w="1241" w:type="dxa"/>
            <w:vMerge w:val="continue"/>
            <w:tcBorders>
              <w:left w:val="single" w:color="auto" w:sz="4" w:space="0"/>
              <w:bottom w:val="single" w:color="000000" w:sz="4" w:space="0"/>
              <w:right w:val="single" w:color="auto" w:sz="4" w:space="0"/>
            </w:tcBorders>
            <w:noWrap w:val="0"/>
            <w:vAlign w:val="center"/>
          </w:tcPr>
          <w:p w14:paraId="71A7B7DD">
            <w:pPr>
              <w:rPr>
                <w:rFonts w:hint="eastAsia" w:ascii="宋体" w:hAnsi="宋体" w:eastAsia="宋体" w:cs="宋体"/>
                <w:color w:val="auto"/>
                <w:sz w:val="22"/>
                <w:szCs w:val="22"/>
                <w:highlight w:val="none"/>
              </w:rPr>
            </w:pPr>
          </w:p>
        </w:tc>
        <w:tc>
          <w:tcPr>
            <w:tcW w:w="1763" w:type="dxa"/>
            <w:vMerge w:val="continue"/>
            <w:tcBorders>
              <w:left w:val="single" w:color="auto" w:sz="4" w:space="0"/>
              <w:bottom w:val="single" w:color="000000" w:sz="4" w:space="0"/>
              <w:right w:val="single" w:color="000000" w:sz="4" w:space="0"/>
            </w:tcBorders>
            <w:noWrap w:val="0"/>
            <w:vAlign w:val="center"/>
          </w:tcPr>
          <w:p w14:paraId="1D81862A">
            <w:pPr>
              <w:rPr>
                <w:rFonts w:hint="eastAsia" w:ascii="宋体" w:hAnsi="宋体" w:eastAsia="宋体" w:cs="宋体"/>
                <w:color w:val="auto"/>
                <w:sz w:val="22"/>
                <w:szCs w:val="22"/>
                <w:highlight w:val="none"/>
              </w:rPr>
            </w:pPr>
          </w:p>
        </w:tc>
      </w:tr>
      <w:tr w14:paraId="641D3899">
        <w:tblPrEx>
          <w:tblCellMar>
            <w:top w:w="0" w:type="dxa"/>
            <w:left w:w="108" w:type="dxa"/>
            <w:bottom w:w="0" w:type="dxa"/>
            <w:right w:w="108" w:type="dxa"/>
          </w:tblCellMar>
        </w:tblPrEx>
        <w:trPr>
          <w:trHeight w:val="453" w:hRule="atLeast"/>
          <w:jc w:val="center"/>
        </w:trPr>
        <w:tc>
          <w:tcPr>
            <w:tcW w:w="647" w:type="dxa"/>
            <w:vMerge w:val="continue"/>
            <w:tcBorders>
              <w:left w:val="single" w:color="000000" w:sz="4" w:space="0"/>
              <w:bottom w:val="single" w:color="000000" w:sz="4" w:space="0"/>
              <w:right w:val="single" w:color="000000" w:sz="4" w:space="0"/>
            </w:tcBorders>
            <w:noWrap/>
            <w:vAlign w:val="center"/>
          </w:tcPr>
          <w:p w14:paraId="00C35C72">
            <w:pPr>
              <w:jc w:val="center"/>
              <w:textAlignment w:val="center"/>
              <w:rPr>
                <w:rFonts w:hint="eastAsia" w:ascii="宋体" w:hAnsi="宋体" w:eastAsia="宋体" w:cs="宋体"/>
                <w:color w:val="auto"/>
                <w:sz w:val="18"/>
                <w:szCs w:val="18"/>
                <w:highlight w:val="none"/>
                <w:lang w:bidi="ar"/>
              </w:rPr>
            </w:pPr>
          </w:p>
        </w:tc>
        <w:tc>
          <w:tcPr>
            <w:tcW w:w="1549" w:type="dxa"/>
            <w:vMerge w:val="continue"/>
            <w:tcBorders>
              <w:left w:val="single" w:color="000000" w:sz="4" w:space="0"/>
              <w:bottom w:val="single" w:color="000000" w:sz="4" w:space="0"/>
              <w:right w:val="single" w:color="000000" w:sz="4" w:space="0"/>
            </w:tcBorders>
            <w:noWrap/>
            <w:vAlign w:val="center"/>
          </w:tcPr>
          <w:p w14:paraId="372AA470">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6480" w:type="dxa"/>
            <w:tcBorders>
              <w:top w:val="single" w:color="auto" w:sz="4" w:space="0"/>
              <w:left w:val="single" w:color="000000" w:sz="4" w:space="0"/>
              <w:bottom w:val="single" w:color="auto" w:sz="4" w:space="0"/>
              <w:right w:val="single" w:color="000000" w:sz="4" w:space="0"/>
            </w:tcBorders>
            <w:noWrap w:val="0"/>
            <w:vAlign w:val="center"/>
          </w:tcPr>
          <w:p w14:paraId="7E0C15E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12、键盘鼠标：光电鼠标键盘，通过抗菌测试。</w:t>
            </w:r>
          </w:p>
        </w:tc>
        <w:tc>
          <w:tcPr>
            <w:tcW w:w="731" w:type="dxa"/>
            <w:vMerge w:val="continue"/>
            <w:tcBorders>
              <w:left w:val="single" w:color="000000" w:sz="4" w:space="0"/>
              <w:bottom w:val="single" w:color="000000" w:sz="4" w:space="0"/>
              <w:right w:val="single" w:color="000000" w:sz="4" w:space="0"/>
            </w:tcBorders>
            <w:noWrap/>
            <w:vAlign w:val="center"/>
          </w:tcPr>
          <w:p w14:paraId="48F33CC8">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774" w:type="dxa"/>
            <w:vMerge w:val="continue"/>
            <w:tcBorders>
              <w:left w:val="single" w:color="000000" w:sz="4" w:space="0"/>
              <w:bottom w:val="single" w:color="000000" w:sz="4" w:space="0"/>
              <w:right w:val="single" w:color="000000" w:sz="4" w:space="0"/>
            </w:tcBorders>
            <w:noWrap/>
            <w:vAlign w:val="center"/>
          </w:tcPr>
          <w:p w14:paraId="5389D051">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1357" w:type="dxa"/>
            <w:tcBorders>
              <w:top w:val="single" w:color="auto" w:sz="4" w:space="0"/>
              <w:left w:val="single" w:color="000000" w:sz="4" w:space="0"/>
              <w:bottom w:val="single" w:color="auto" w:sz="4" w:space="0"/>
              <w:right w:val="single" w:color="auto" w:sz="4" w:space="0"/>
            </w:tcBorders>
            <w:noWrap w:val="0"/>
            <w:vAlign w:val="center"/>
          </w:tcPr>
          <w:p w14:paraId="3CEA1CFE">
            <w:pPr>
              <w:rPr>
                <w:rFonts w:hint="eastAsia" w:ascii="宋体" w:hAnsi="宋体" w:eastAsia="宋体" w:cs="宋体"/>
                <w:color w:val="auto"/>
                <w:sz w:val="22"/>
                <w:szCs w:val="22"/>
                <w:highlight w:val="none"/>
              </w:rPr>
            </w:pPr>
          </w:p>
        </w:tc>
        <w:tc>
          <w:tcPr>
            <w:tcW w:w="1241" w:type="dxa"/>
            <w:vMerge w:val="continue"/>
            <w:tcBorders>
              <w:left w:val="single" w:color="auto" w:sz="4" w:space="0"/>
              <w:bottom w:val="single" w:color="000000" w:sz="4" w:space="0"/>
              <w:right w:val="single" w:color="auto" w:sz="4" w:space="0"/>
            </w:tcBorders>
            <w:noWrap w:val="0"/>
            <w:vAlign w:val="center"/>
          </w:tcPr>
          <w:p w14:paraId="16EE8E5C">
            <w:pPr>
              <w:rPr>
                <w:rFonts w:hint="eastAsia" w:ascii="宋体" w:hAnsi="宋体" w:eastAsia="宋体" w:cs="宋体"/>
                <w:color w:val="auto"/>
                <w:sz w:val="22"/>
                <w:szCs w:val="22"/>
                <w:highlight w:val="none"/>
              </w:rPr>
            </w:pPr>
          </w:p>
        </w:tc>
        <w:tc>
          <w:tcPr>
            <w:tcW w:w="1763" w:type="dxa"/>
            <w:vMerge w:val="continue"/>
            <w:tcBorders>
              <w:left w:val="single" w:color="auto" w:sz="4" w:space="0"/>
              <w:bottom w:val="single" w:color="000000" w:sz="4" w:space="0"/>
              <w:right w:val="single" w:color="000000" w:sz="4" w:space="0"/>
            </w:tcBorders>
            <w:noWrap w:val="0"/>
            <w:vAlign w:val="center"/>
          </w:tcPr>
          <w:p w14:paraId="0386A70F">
            <w:pPr>
              <w:rPr>
                <w:rFonts w:hint="eastAsia" w:ascii="宋体" w:hAnsi="宋体" w:eastAsia="宋体" w:cs="宋体"/>
                <w:color w:val="auto"/>
                <w:sz w:val="22"/>
                <w:szCs w:val="22"/>
                <w:highlight w:val="none"/>
              </w:rPr>
            </w:pPr>
          </w:p>
        </w:tc>
      </w:tr>
      <w:tr w14:paraId="6F4588F9">
        <w:tblPrEx>
          <w:tblCellMar>
            <w:top w:w="0" w:type="dxa"/>
            <w:left w:w="108" w:type="dxa"/>
            <w:bottom w:w="0" w:type="dxa"/>
            <w:right w:w="108" w:type="dxa"/>
          </w:tblCellMar>
        </w:tblPrEx>
        <w:trPr>
          <w:trHeight w:val="352" w:hRule="atLeast"/>
          <w:jc w:val="center"/>
        </w:trPr>
        <w:tc>
          <w:tcPr>
            <w:tcW w:w="647" w:type="dxa"/>
            <w:vMerge w:val="continue"/>
            <w:tcBorders>
              <w:left w:val="single" w:color="000000" w:sz="4" w:space="0"/>
              <w:bottom w:val="single" w:color="000000" w:sz="4" w:space="0"/>
              <w:right w:val="single" w:color="000000" w:sz="4" w:space="0"/>
            </w:tcBorders>
            <w:noWrap/>
            <w:vAlign w:val="center"/>
          </w:tcPr>
          <w:p w14:paraId="48F2CF3C">
            <w:pPr>
              <w:jc w:val="center"/>
              <w:textAlignment w:val="center"/>
              <w:rPr>
                <w:rFonts w:hint="eastAsia" w:ascii="宋体" w:hAnsi="宋体" w:eastAsia="宋体" w:cs="宋体"/>
                <w:color w:val="auto"/>
                <w:sz w:val="18"/>
                <w:szCs w:val="18"/>
                <w:highlight w:val="none"/>
                <w:lang w:bidi="ar"/>
              </w:rPr>
            </w:pPr>
          </w:p>
        </w:tc>
        <w:tc>
          <w:tcPr>
            <w:tcW w:w="1549" w:type="dxa"/>
            <w:vMerge w:val="continue"/>
            <w:tcBorders>
              <w:left w:val="single" w:color="000000" w:sz="4" w:space="0"/>
              <w:bottom w:val="single" w:color="000000" w:sz="4" w:space="0"/>
              <w:right w:val="single" w:color="000000" w:sz="4" w:space="0"/>
            </w:tcBorders>
            <w:noWrap/>
            <w:vAlign w:val="center"/>
          </w:tcPr>
          <w:p w14:paraId="4B7112B4">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6480" w:type="dxa"/>
            <w:tcBorders>
              <w:top w:val="single" w:color="auto" w:sz="4" w:space="0"/>
              <w:left w:val="single" w:color="000000" w:sz="4" w:space="0"/>
              <w:bottom w:val="single" w:color="auto" w:sz="4" w:space="0"/>
              <w:right w:val="single" w:color="000000" w:sz="4" w:space="0"/>
            </w:tcBorders>
            <w:noWrap w:val="0"/>
            <w:vAlign w:val="center"/>
          </w:tcPr>
          <w:p w14:paraId="07CE7161">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 xml:space="preserve">13、显示器 </w:t>
            </w:r>
            <w:r>
              <w:rPr>
                <w:rFonts w:hint="eastAsia" w:ascii="宋体" w:hAnsi="宋体" w:eastAsia="宋体" w:cs="宋体"/>
                <w:b w:val="0"/>
                <w:bCs w:val="0"/>
                <w:color w:val="auto"/>
                <w:sz w:val="18"/>
                <w:szCs w:val="18"/>
                <w:highlight w:val="none"/>
                <w:lang w:val="en-US" w:eastAsia="zh-CN"/>
              </w:rPr>
              <w:t>≥23英寸LED显示器，</w:t>
            </w:r>
            <w:r>
              <w:rPr>
                <w:rFonts w:hint="eastAsia" w:ascii="宋体" w:hAnsi="宋体" w:eastAsia="宋体" w:cs="宋体"/>
                <w:color w:val="auto"/>
                <w:sz w:val="18"/>
                <w:szCs w:val="18"/>
                <w:highlight w:val="none"/>
                <w:lang w:val="en-US" w:eastAsia="zh-CN"/>
              </w:rPr>
              <w:t>分辨率2560 x 1440，响应时间5ms，具备VGA+HDMI视频接口，支持壁挂；</w:t>
            </w:r>
          </w:p>
        </w:tc>
        <w:tc>
          <w:tcPr>
            <w:tcW w:w="731" w:type="dxa"/>
            <w:vMerge w:val="continue"/>
            <w:tcBorders>
              <w:left w:val="single" w:color="000000" w:sz="4" w:space="0"/>
              <w:bottom w:val="single" w:color="000000" w:sz="4" w:space="0"/>
              <w:right w:val="single" w:color="000000" w:sz="4" w:space="0"/>
            </w:tcBorders>
            <w:noWrap/>
            <w:vAlign w:val="center"/>
          </w:tcPr>
          <w:p w14:paraId="50F3AC0C">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774" w:type="dxa"/>
            <w:vMerge w:val="continue"/>
            <w:tcBorders>
              <w:left w:val="single" w:color="000000" w:sz="4" w:space="0"/>
              <w:bottom w:val="single" w:color="000000" w:sz="4" w:space="0"/>
              <w:right w:val="single" w:color="000000" w:sz="4" w:space="0"/>
            </w:tcBorders>
            <w:noWrap/>
            <w:vAlign w:val="center"/>
          </w:tcPr>
          <w:p w14:paraId="4D157248">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1357" w:type="dxa"/>
            <w:tcBorders>
              <w:top w:val="single" w:color="auto" w:sz="4" w:space="0"/>
              <w:left w:val="single" w:color="000000" w:sz="4" w:space="0"/>
              <w:bottom w:val="single" w:color="auto" w:sz="4" w:space="0"/>
              <w:right w:val="single" w:color="auto" w:sz="4" w:space="0"/>
            </w:tcBorders>
            <w:noWrap w:val="0"/>
            <w:vAlign w:val="center"/>
          </w:tcPr>
          <w:p w14:paraId="114BFCA1">
            <w:pPr>
              <w:rPr>
                <w:rFonts w:hint="eastAsia" w:ascii="宋体" w:hAnsi="宋体" w:eastAsia="宋体" w:cs="宋体"/>
                <w:color w:val="auto"/>
                <w:sz w:val="22"/>
                <w:szCs w:val="22"/>
                <w:highlight w:val="none"/>
              </w:rPr>
            </w:pPr>
          </w:p>
        </w:tc>
        <w:tc>
          <w:tcPr>
            <w:tcW w:w="1241" w:type="dxa"/>
            <w:vMerge w:val="continue"/>
            <w:tcBorders>
              <w:left w:val="single" w:color="auto" w:sz="4" w:space="0"/>
              <w:bottom w:val="single" w:color="000000" w:sz="4" w:space="0"/>
              <w:right w:val="single" w:color="auto" w:sz="4" w:space="0"/>
            </w:tcBorders>
            <w:noWrap w:val="0"/>
            <w:vAlign w:val="center"/>
          </w:tcPr>
          <w:p w14:paraId="57227B33">
            <w:pPr>
              <w:rPr>
                <w:rFonts w:hint="eastAsia" w:ascii="宋体" w:hAnsi="宋体" w:eastAsia="宋体" w:cs="宋体"/>
                <w:color w:val="auto"/>
                <w:sz w:val="22"/>
                <w:szCs w:val="22"/>
                <w:highlight w:val="none"/>
              </w:rPr>
            </w:pPr>
          </w:p>
        </w:tc>
        <w:tc>
          <w:tcPr>
            <w:tcW w:w="1763" w:type="dxa"/>
            <w:vMerge w:val="continue"/>
            <w:tcBorders>
              <w:left w:val="single" w:color="auto" w:sz="4" w:space="0"/>
              <w:bottom w:val="single" w:color="000000" w:sz="4" w:space="0"/>
              <w:right w:val="single" w:color="000000" w:sz="4" w:space="0"/>
            </w:tcBorders>
            <w:noWrap w:val="0"/>
            <w:vAlign w:val="center"/>
          </w:tcPr>
          <w:p w14:paraId="79093E18">
            <w:pPr>
              <w:rPr>
                <w:rFonts w:hint="eastAsia" w:ascii="宋体" w:hAnsi="宋体" w:eastAsia="宋体" w:cs="宋体"/>
                <w:color w:val="auto"/>
                <w:sz w:val="22"/>
                <w:szCs w:val="22"/>
                <w:highlight w:val="none"/>
              </w:rPr>
            </w:pPr>
          </w:p>
        </w:tc>
      </w:tr>
      <w:tr w14:paraId="627144A4">
        <w:tblPrEx>
          <w:tblCellMar>
            <w:top w:w="0" w:type="dxa"/>
            <w:left w:w="108" w:type="dxa"/>
            <w:bottom w:w="0" w:type="dxa"/>
            <w:right w:w="108" w:type="dxa"/>
          </w:tblCellMar>
        </w:tblPrEx>
        <w:trPr>
          <w:trHeight w:val="400" w:hRule="atLeast"/>
          <w:jc w:val="center"/>
        </w:trPr>
        <w:tc>
          <w:tcPr>
            <w:tcW w:w="647" w:type="dxa"/>
            <w:vMerge w:val="continue"/>
            <w:tcBorders>
              <w:left w:val="single" w:color="000000" w:sz="4" w:space="0"/>
              <w:bottom w:val="single" w:color="000000" w:sz="4" w:space="0"/>
              <w:right w:val="single" w:color="000000" w:sz="4" w:space="0"/>
            </w:tcBorders>
            <w:noWrap/>
            <w:vAlign w:val="center"/>
          </w:tcPr>
          <w:p w14:paraId="3AB64968">
            <w:pPr>
              <w:jc w:val="center"/>
              <w:textAlignment w:val="center"/>
              <w:rPr>
                <w:rFonts w:hint="eastAsia" w:ascii="宋体" w:hAnsi="宋体" w:eastAsia="宋体" w:cs="宋体"/>
                <w:color w:val="auto"/>
                <w:sz w:val="18"/>
                <w:szCs w:val="18"/>
                <w:highlight w:val="none"/>
                <w:lang w:bidi="ar"/>
              </w:rPr>
            </w:pPr>
          </w:p>
        </w:tc>
        <w:tc>
          <w:tcPr>
            <w:tcW w:w="1549" w:type="dxa"/>
            <w:vMerge w:val="continue"/>
            <w:tcBorders>
              <w:left w:val="single" w:color="000000" w:sz="4" w:space="0"/>
              <w:bottom w:val="single" w:color="000000" w:sz="4" w:space="0"/>
              <w:right w:val="single" w:color="000000" w:sz="4" w:space="0"/>
            </w:tcBorders>
            <w:noWrap/>
            <w:vAlign w:val="center"/>
          </w:tcPr>
          <w:p w14:paraId="57749A9E">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6480" w:type="dxa"/>
            <w:tcBorders>
              <w:top w:val="single" w:color="auto" w:sz="4" w:space="0"/>
              <w:left w:val="single" w:color="000000" w:sz="4" w:space="0"/>
              <w:bottom w:val="single" w:color="auto" w:sz="4" w:space="0"/>
              <w:right w:val="single" w:color="000000" w:sz="4" w:space="0"/>
            </w:tcBorders>
            <w:noWrap w:val="0"/>
            <w:vAlign w:val="center"/>
          </w:tcPr>
          <w:p w14:paraId="62BBF1D2">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14、操作系统 预装WIN10 Pro 操作系统</w:t>
            </w:r>
          </w:p>
        </w:tc>
        <w:tc>
          <w:tcPr>
            <w:tcW w:w="731" w:type="dxa"/>
            <w:vMerge w:val="continue"/>
            <w:tcBorders>
              <w:left w:val="single" w:color="000000" w:sz="4" w:space="0"/>
              <w:bottom w:val="single" w:color="000000" w:sz="4" w:space="0"/>
              <w:right w:val="single" w:color="000000" w:sz="4" w:space="0"/>
            </w:tcBorders>
            <w:noWrap/>
            <w:vAlign w:val="center"/>
          </w:tcPr>
          <w:p w14:paraId="608E5694">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774" w:type="dxa"/>
            <w:vMerge w:val="continue"/>
            <w:tcBorders>
              <w:left w:val="single" w:color="000000" w:sz="4" w:space="0"/>
              <w:bottom w:val="single" w:color="000000" w:sz="4" w:space="0"/>
              <w:right w:val="single" w:color="000000" w:sz="4" w:space="0"/>
            </w:tcBorders>
            <w:noWrap/>
            <w:vAlign w:val="center"/>
          </w:tcPr>
          <w:p w14:paraId="53AC9969">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1357" w:type="dxa"/>
            <w:tcBorders>
              <w:top w:val="single" w:color="auto" w:sz="4" w:space="0"/>
              <w:left w:val="single" w:color="000000" w:sz="4" w:space="0"/>
              <w:bottom w:val="single" w:color="auto" w:sz="4" w:space="0"/>
              <w:right w:val="single" w:color="auto" w:sz="4" w:space="0"/>
            </w:tcBorders>
            <w:noWrap w:val="0"/>
            <w:vAlign w:val="center"/>
          </w:tcPr>
          <w:p w14:paraId="653DF0CE">
            <w:pPr>
              <w:rPr>
                <w:rFonts w:hint="eastAsia" w:ascii="宋体" w:hAnsi="宋体" w:eastAsia="宋体" w:cs="宋体"/>
                <w:color w:val="auto"/>
                <w:sz w:val="22"/>
                <w:szCs w:val="22"/>
                <w:highlight w:val="none"/>
              </w:rPr>
            </w:pPr>
          </w:p>
        </w:tc>
        <w:tc>
          <w:tcPr>
            <w:tcW w:w="1241" w:type="dxa"/>
            <w:vMerge w:val="continue"/>
            <w:tcBorders>
              <w:left w:val="single" w:color="auto" w:sz="4" w:space="0"/>
              <w:bottom w:val="single" w:color="000000" w:sz="4" w:space="0"/>
              <w:right w:val="single" w:color="auto" w:sz="4" w:space="0"/>
            </w:tcBorders>
            <w:noWrap w:val="0"/>
            <w:vAlign w:val="center"/>
          </w:tcPr>
          <w:p w14:paraId="1C20BC4A">
            <w:pPr>
              <w:rPr>
                <w:rFonts w:hint="eastAsia" w:ascii="宋体" w:hAnsi="宋体" w:eastAsia="宋体" w:cs="宋体"/>
                <w:color w:val="auto"/>
                <w:sz w:val="22"/>
                <w:szCs w:val="22"/>
                <w:highlight w:val="none"/>
              </w:rPr>
            </w:pPr>
          </w:p>
        </w:tc>
        <w:tc>
          <w:tcPr>
            <w:tcW w:w="1763" w:type="dxa"/>
            <w:vMerge w:val="continue"/>
            <w:tcBorders>
              <w:left w:val="single" w:color="auto" w:sz="4" w:space="0"/>
              <w:bottom w:val="single" w:color="000000" w:sz="4" w:space="0"/>
              <w:right w:val="single" w:color="000000" w:sz="4" w:space="0"/>
            </w:tcBorders>
            <w:noWrap w:val="0"/>
            <w:vAlign w:val="center"/>
          </w:tcPr>
          <w:p w14:paraId="1C01AEE2">
            <w:pPr>
              <w:rPr>
                <w:rFonts w:hint="eastAsia" w:ascii="宋体" w:hAnsi="宋体" w:eastAsia="宋体" w:cs="宋体"/>
                <w:color w:val="auto"/>
                <w:sz w:val="22"/>
                <w:szCs w:val="22"/>
                <w:highlight w:val="none"/>
              </w:rPr>
            </w:pPr>
          </w:p>
        </w:tc>
      </w:tr>
      <w:tr w14:paraId="480C7E5C">
        <w:tblPrEx>
          <w:tblCellMar>
            <w:top w:w="0" w:type="dxa"/>
            <w:left w:w="108" w:type="dxa"/>
            <w:bottom w:w="0" w:type="dxa"/>
            <w:right w:w="108" w:type="dxa"/>
          </w:tblCellMar>
        </w:tblPrEx>
        <w:trPr>
          <w:trHeight w:val="487" w:hRule="atLeast"/>
          <w:jc w:val="center"/>
        </w:trPr>
        <w:tc>
          <w:tcPr>
            <w:tcW w:w="647" w:type="dxa"/>
            <w:vMerge w:val="continue"/>
            <w:tcBorders>
              <w:left w:val="single" w:color="000000" w:sz="4" w:space="0"/>
              <w:bottom w:val="single" w:color="000000" w:sz="4" w:space="0"/>
              <w:right w:val="single" w:color="000000" w:sz="4" w:space="0"/>
            </w:tcBorders>
            <w:noWrap/>
            <w:vAlign w:val="center"/>
          </w:tcPr>
          <w:p w14:paraId="11E20626">
            <w:pPr>
              <w:jc w:val="center"/>
              <w:textAlignment w:val="center"/>
              <w:rPr>
                <w:rFonts w:hint="eastAsia" w:ascii="宋体" w:hAnsi="宋体" w:eastAsia="宋体" w:cs="宋体"/>
                <w:color w:val="auto"/>
                <w:sz w:val="18"/>
                <w:szCs w:val="18"/>
                <w:highlight w:val="none"/>
                <w:lang w:bidi="ar"/>
              </w:rPr>
            </w:pPr>
          </w:p>
        </w:tc>
        <w:tc>
          <w:tcPr>
            <w:tcW w:w="1549" w:type="dxa"/>
            <w:vMerge w:val="continue"/>
            <w:tcBorders>
              <w:left w:val="single" w:color="000000" w:sz="4" w:space="0"/>
              <w:bottom w:val="single" w:color="000000" w:sz="4" w:space="0"/>
              <w:right w:val="single" w:color="000000" w:sz="4" w:space="0"/>
            </w:tcBorders>
            <w:noWrap/>
            <w:vAlign w:val="center"/>
          </w:tcPr>
          <w:p w14:paraId="2749EA67">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6480" w:type="dxa"/>
            <w:tcBorders>
              <w:top w:val="single" w:color="auto" w:sz="4" w:space="0"/>
              <w:left w:val="single" w:color="000000" w:sz="4" w:space="0"/>
              <w:bottom w:val="single" w:color="000000" w:sz="4" w:space="0"/>
              <w:right w:val="single" w:color="000000" w:sz="4" w:space="0"/>
            </w:tcBorders>
            <w:noWrap w:val="0"/>
            <w:vAlign w:val="center"/>
          </w:tcPr>
          <w:p w14:paraId="169AB10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15、保修：整机提供两年质保及免费上门服务。</w:t>
            </w:r>
          </w:p>
        </w:tc>
        <w:tc>
          <w:tcPr>
            <w:tcW w:w="731" w:type="dxa"/>
            <w:vMerge w:val="continue"/>
            <w:tcBorders>
              <w:left w:val="single" w:color="000000" w:sz="4" w:space="0"/>
              <w:bottom w:val="single" w:color="000000" w:sz="4" w:space="0"/>
              <w:right w:val="single" w:color="000000" w:sz="4" w:space="0"/>
            </w:tcBorders>
            <w:noWrap/>
            <w:vAlign w:val="center"/>
          </w:tcPr>
          <w:p w14:paraId="3C1C03AE">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774" w:type="dxa"/>
            <w:vMerge w:val="continue"/>
            <w:tcBorders>
              <w:left w:val="single" w:color="000000" w:sz="4" w:space="0"/>
              <w:bottom w:val="single" w:color="000000" w:sz="4" w:space="0"/>
              <w:right w:val="single" w:color="000000" w:sz="4" w:space="0"/>
            </w:tcBorders>
            <w:noWrap/>
            <w:vAlign w:val="center"/>
          </w:tcPr>
          <w:p w14:paraId="7743A1B7">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1357" w:type="dxa"/>
            <w:tcBorders>
              <w:top w:val="single" w:color="auto" w:sz="4" w:space="0"/>
              <w:left w:val="single" w:color="000000" w:sz="4" w:space="0"/>
              <w:bottom w:val="single" w:color="auto" w:sz="4" w:space="0"/>
              <w:right w:val="single" w:color="auto" w:sz="4" w:space="0"/>
            </w:tcBorders>
            <w:noWrap w:val="0"/>
            <w:vAlign w:val="center"/>
          </w:tcPr>
          <w:p w14:paraId="5766BC3F">
            <w:pPr>
              <w:rPr>
                <w:rFonts w:hint="eastAsia" w:ascii="宋体" w:hAnsi="宋体" w:eastAsia="宋体" w:cs="宋体"/>
                <w:color w:val="auto"/>
                <w:sz w:val="22"/>
                <w:szCs w:val="22"/>
                <w:highlight w:val="none"/>
              </w:rPr>
            </w:pPr>
          </w:p>
        </w:tc>
        <w:tc>
          <w:tcPr>
            <w:tcW w:w="1241" w:type="dxa"/>
            <w:vMerge w:val="continue"/>
            <w:tcBorders>
              <w:left w:val="single" w:color="auto" w:sz="4" w:space="0"/>
              <w:bottom w:val="single" w:color="000000" w:sz="4" w:space="0"/>
              <w:right w:val="single" w:color="auto" w:sz="4" w:space="0"/>
            </w:tcBorders>
            <w:noWrap w:val="0"/>
            <w:vAlign w:val="center"/>
          </w:tcPr>
          <w:p w14:paraId="7098DC11">
            <w:pPr>
              <w:rPr>
                <w:rFonts w:hint="eastAsia" w:ascii="宋体" w:hAnsi="宋体" w:eastAsia="宋体" w:cs="宋体"/>
                <w:color w:val="auto"/>
                <w:sz w:val="22"/>
                <w:szCs w:val="22"/>
                <w:highlight w:val="none"/>
              </w:rPr>
            </w:pPr>
          </w:p>
        </w:tc>
        <w:tc>
          <w:tcPr>
            <w:tcW w:w="1763" w:type="dxa"/>
            <w:vMerge w:val="continue"/>
            <w:tcBorders>
              <w:left w:val="single" w:color="auto" w:sz="4" w:space="0"/>
              <w:bottom w:val="single" w:color="000000" w:sz="4" w:space="0"/>
              <w:right w:val="single" w:color="000000" w:sz="4" w:space="0"/>
            </w:tcBorders>
            <w:noWrap w:val="0"/>
            <w:vAlign w:val="center"/>
          </w:tcPr>
          <w:p w14:paraId="41D2B952">
            <w:pPr>
              <w:rPr>
                <w:rFonts w:hint="eastAsia" w:ascii="宋体" w:hAnsi="宋体" w:eastAsia="宋体" w:cs="宋体"/>
                <w:color w:val="auto"/>
                <w:sz w:val="22"/>
                <w:szCs w:val="22"/>
                <w:highlight w:val="none"/>
              </w:rPr>
            </w:pPr>
          </w:p>
        </w:tc>
      </w:tr>
      <w:tr w14:paraId="0159BE1F">
        <w:tblPrEx>
          <w:tblCellMar>
            <w:top w:w="0" w:type="dxa"/>
            <w:left w:w="108" w:type="dxa"/>
            <w:bottom w:w="0" w:type="dxa"/>
            <w:right w:w="108" w:type="dxa"/>
          </w:tblCellMar>
        </w:tblPrEx>
        <w:trPr>
          <w:trHeight w:val="499" w:hRule="atLeast"/>
          <w:jc w:val="center"/>
        </w:trPr>
        <w:tc>
          <w:tcPr>
            <w:tcW w:w="647" w:type="dxa"/>
            <w:tcBorders>
              <w:top w:val="single" w:color="000000" w:sz="4" w:space="0"/>
              <w:left w:val="single" w:color="000000" w:sz="4" w:space="0"/>
              <w:bottom w:val="single" w:color="000000" w:sz="4" w:space="0"/>
              <w:right w:val="single" w:color="000000" w:sz="4" w:space="0"/>
            </w:tcBorders>
            <w:noWrap/>
            <w:vAlign w:val="center"/>
          </w:tcPr>
          <w:p w14:paraId="4DF4C852">
            <w:pPr>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465C52B4">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正版同传还原软件</w:t>
            </w:r>
          </w:p>
        </w:tc>
        <w:tc>
          <w:tcPr>
            <w:tcW w:w="6480" w:type="dxa"/>
            <w:tcBorders>
              <w:top w:val="single" w:color="000000" w:sz="4" w:space="0"/>
              <w:left w:val="single" w:color="000000" w:sz="4" w:space="0"/>
              <w:bottom w:val="single" w:color="000000" w:sz="4" w:space="0"/>
              <w:right w:val="single" w:color="000000" w:sz="4" w:space="0"/>
            </w:tcBorders>
            <w:noWrap w:val="0"/>
            <w:vAlign w:val="center"/>
          </w:tcPr>
          <w:p w14:paraId="16ABA64F">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网络同传 出厂预装硬盘版网络同传软件，</w:t>
            </w:r>
          </w:p>
          <w:p w14:paraId="3E002E1F">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1、</w:t>
            </w:r>
            <w:r>
              <w:rPr>
                <w:rFonts w:hint="eastAsia" w:ascii="宋体" w:hAnsi="宋体" w:eastAsia="宋体" w:cs="宋体"/>
                <w:color w:val="auto"/>
                <w:sz w:val="18"/>
                <w:szCs w:val="18"/>
                <w:highlight w:val="none"/>
                <w:lang w:val="en-US" w:eastAsia="zh-CN"/>
              </w:rPr>
              <w:t>保护/恢复数据：可对单分区、多分区经行快速保护和快速恢复数据。并且隐藏启动界面，隐藏操作员界面，隐藏恢复进度条。</w:t>
            </w:r>
          </w:p>
          <w:p w14:paraId="24BCF2BC">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2、</w:t>
            </w:r>
            <w:r>
              <w:rPr>
                <w:rFonts w:hint="eastAsia" w:ascii="宋体" w:hAnsi="宋体" w:eastAsia="宋体" w:cs="宋体"/>
                <w:color w:val="auto"/>
                <w:sz w:val="18"/>
                <w:szCs w:val="18"/>
                <w:highlight w:val="none"/>
                <w:lang w:val="en-US" w:eastAsia="zh-CN"/>
              </w:rPr>
              <w:t>智能同传：安装部署方便，支持传统BIOS主板及UEFI主板；支持XP、Windows7 32/64、Windows8 32/64、Windows10 32/64、Windows11等操作系统；</w:t>
            </w:r>
          </w:p>
          <w:p w14:paraId="7BF78AF7">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3、</w:t>
            </w:r>
            <w:r>
              <w:rPr>
                <w:rFonts w:hint="eastAsia" w:ascii="宋体" w:hAnsi="宋体" w:eastAsia="宋体" w:cs="宋体"/>
                <w:color w:val="auto"/>
                <w:sz w:val="18"/>
                <w:szCs w:val="18"/>
                <w:highlight w:val="none"/>
                <w:lang w:val="en-US" w:eastAsia="zh-CN"/>
              </w:rPr>
              <w:t>网络对拷：支持PXE网卡引导，需同传的机子不管有没有系统都可进行快速部署。即使接收端硬盘状态不一，也能“增量对拷”，并智能化计算后传送最少数据量。</w:t>
            </w:r>
          </w:p>
          <w:p w14:paraId="568C8C42">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4、</w:t>
            </w:r>
            <w:r>
              <w:rPr>
                <w:rFonts w:hint="eastAsia" w:ascii="宋体" w:hAnsi="宋体" w:eastAsia="宋体" w:cs="宋体"/>
                <w:color w:val="auto"/>
                <w:sz w:val="18"/>
                <w:szCs w:val="18"/>
                <w:highlight w:val="none"/>
                <w:lang w:val="en-US" w:eastAsia="zh-CN"/>
              </w:rPr>
              <w:t>本地硬盘复制:同时支持本地1对3块硬盘复制，可以一对三进行硬盘对拷完，方便少数故障机快速恢复正常状态。系统克隆：在同一块硬盘上可以同时复制多个相同的操作系统到其他分区。可以在一块硬盘上克隆多个系统，快速部署，满足不同场景下的教学环境需求。</w:t>
            </w:r>
          </w:p>
          <w:p w14:paraId="517628B3">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5、</w:t>
            </w:r>
            <w:r>
              <w:rPr>
                <w:rFonts w:hint="eastAsia" w:ascii="宋体" w:hAnsi="宋体" w:eastAsia="宋体" w:cs="宋体"/>
                <w:color w:val="auto"/>
                <w:sz w:val="18"/>
                <w:szCs w:val="18"/>
                <w:highlight w:val="none"/>
                <w:lang w:val="en-US" w:eastAsia="zh-CN"/>
              </w:rPr>
              <w:t>远程锁定：管理端可远程锁定客户端的鼠标、键盘或屏幕。</w:t>
            </w:r>
            <w:r>
              <w:rPr>
                <w:rFonts w:hint="eastAsia" w:ascii="宋体" w:hAnsi="宋体" w:eastAsia="宋体" w:cs="宋体"/>
                <w:color w:val="auto"/>
                <w:sz w:val="18"/>
                <w:szCs w:val="18"/>
                <w:highlight w:val="none"/>
                <w:lang w:val="en-US" w:eastAsia="zh-CN"/>
              </w:rPr>
              <w:tab/>
            </w:r>
          </w:p>
          <w:p w14:paraId="25B21F64">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6、</w:t>
            </w:r>
            <w:r>
              <w:rPr>
                <w:rFonts w:hint="eastAsia" w:ascii="宋体" w:hAnsi="宋体" w:eastAsia="宋体" w:cs="宋体"/>
                <w:color w:val="auto"/>
                <w:sz w:val="18"/>
                <w:szCs w:val="18"/>
                <w:highlight w:val="none"/>
                <w:lang w:val="en-US" w:eastAsia="zh-CN"/>
              </w:rPr>
              <w:t>排程设置：设定时间后自动开机进行网络同传，完成后所有计算机自动关机。</w:t>
            </w:r>
          </w:p>
          <w:p w14:paraId="512321CC">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7、</w:t>
            </w:r>
            <w:r>
              <w:rPr>
                <w:rFonts w:hint="eastAsia" w:ascii="宋体" w:hAnsi="宋体" w:eastAsia="宋体" w:cs="宋体"/>
                <w:color w:val="auto"/>
                <w:sz w:val="18"/>
                <w:szCs w:val="18"/>
                <w:highlight w:val="none"/>
                <w:lang w:val="en-US" w:eastAsia="zh-CN"/>
              </w:rPr>
              <w:t>资产管理:管理端可对客户端的软硬件信息进行资产盘点，并导出Doc或Excel文件以便保存。</w:t>
            </w:r>
          </w:p>
          <w:p w14:paraId="1B42B4DA">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8、</w:t>
            </w:r>
            <w:r>
              <w:rPr>
                <w:rFonts w:hint="eastAsia" w:ascii="宋体" w:hAnsi="宋体" w:eastAsia="宋体" w:cs="宋体"/>
                <w:color w:val="auto"/>
                <w:sz w:val="18"/>
                <w:szCs w:val="18"/>
                <w:highlight w:val="none"/>
                <w:lang w:val="en-US" w:eastAsia="zh-CN"/>
              </w:rPr>
              <w:t>产品升级：管理端可下发升级包在几分钟内就升级所有客户端程序。</w:t>
            </w:r>
          </w:p>
          <w:p w14:paraId="70DEE4DF">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9、</w:t>
            </w:r>
            <w:r>
              <w:rPr>
                <w:rFonts w:hint="eastAsia" w:ascii="宋体" w:hAnsi="宋体" w:eastAsia="宋体" w:cs="宋体"/>
                <w:color w:val="auto"/>
                <w:sz w:val="18"/>
                <w:szCs w:val="18"/>
                <w:highlight w:val="none"/>
                <w:lang w:val="en-US" w:eastAsia="zh-CN"/>
              </w:rPr>
              <w:t>电子教室：软件含电子教室功能，实现课堂教学老师对学生广播教学、学生演示、网页广播、电子点名、提交作业等多项教学互动功能。</w:t>
            </w:r>
          </w:p>
          <w:p w14:paraId="0BDBD8A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10、</w:t>
            </w:r>
            <w:r>
              <w:rPr>
                <w:rFonts w:hint="eastAsia" w:ascii="宋体" w:hAnsi="宋体" w:eastAsia="宋体" w:cs="宋体"/>
                <w:color w:val="auto"/>
                <w:sz w:val="18"/>
                <w:szCs w:val="18"/>
                <w:highlight w:val="none"/>
                <w:lang w:val="en-US" w:eastAsia="zh-CN"/>
              </w:rPr>
              <w:t>客户端搜索：管理端可以抓取该局域网内的所有客户端，即便该客户端已登入其他管理端。便于一次性管理所有电脑教室。将系统被使用的情况都记录在日志文件内，以供需要时查询。</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79A45BD6">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6CEB44DD">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套（120点位）</w:t>
            </w:r>
          </w:p>
        </w:tc>
        <w:tc>
          <w:tcPr>
            <w:tcW w:w="1357" w:type="dxa"/>
            <w:tcBorders>
              <w:top w:val="single" w:color="auto" w:sz="4" w:space="0"/>
              <w:left w:val="single" w:color="000000" w:sz="4" w:space="0"/>
              <w:bottom w:val="single" w:color="000000" w:sz="4" w:space="0"/>
              <w:right w:val="single" w:color="auto" w:sz="4" w:space="0"/>
            </w:tcBorders>
            <w:noWrap w:val="0"/>
            <w:vAlign w:val="center"/>
          </w:tcPr>
          <w:p w14:paraId="3E47EF0C">
            <w:pPr>
              <w:rPr>
                <w:rFonts w:hint="eastAsia" w:ascii="宋体" w:hAnsi="宋体" w:eastAsia="宋体" w:cs="宋体"/>
                <w:color w:val="auto"/>
                <w:sz w:val="22"/>
                <w:szCs w:val="22"/>
                <w:highlight w:val="none"/>
                <w:lang w:val="en-US" w:eastAsia="zh-CN"/>
              </w:rPr>
            </w:pPr>
          </w:p>
        </w:tc>
        <w:tc>
          <w:tcPr>
            <w:tcW w:w="1241" w:type="dxa"/>
            <w:tcBorders>
              <w:top w:val="single" w:color="000000" w:sz="4" w:space="0"/>
              <w:left w:val="single" w:color="auto" w:sz="4" w:space="0"/>
              <w:bottom w:val="single" w:color="000000" w:sz="4" w:space="0"/>
              <w:right w:val="single" w:color="auto" w:sz="4" w:space="0"/>
            </w:tcBorders>
            <w:noWrap w:val="0"/>
            <w:vAlign w:val="center"/>
          </w:tcPr>
          <w:p w14:paraId="2B6AB6E3">
            <w:pPr>
              <w:rPr>
                <w:rFonts w:hint="eastAsia" w:ascii="宋体" w:hAnsi="宋体" w:eastAsia="宋体" w:cs="宋体"/>
                <w:color w:val="auto"/>
                <w:sz w:val="22"/>
                <w:szCs w:val="22"/>
                <w:highlight w:val="none"/>
                <w:lang w:val="en-US" w:eastAsia="zh-CN"/>
              </w:rPr>
            </w:pPr>
          </w:p>
        </w:tc>
        <w:tc>
          <w:tcPr>
            <w:tcW w:w="1763" w:type="dxa"/>
            <w:tcBorders>
              <w:top w:val="single" w:color="000000" w:sz="4" w:space="0"/>
              <w:left w:val="single" w:color="auto" w:sz="4" w:space="0"/>
              <w:bottom w:val="single" w:color="000000" w:sz="4" w:space="0"/>
              <w:right w:val="single" w:color="000000" w:sz="4" w:space="0"/>
            </w:tcBorders>
            <w:noWrap w:val="0"/>
            <w:vAlign w:val="center"/>
          </w:tcPr>
          <w:p w14:paraId="03973476">
            <w:pPr>
              <w:rPr>
                <w:rFonts w:hint="eastAsia" w:ascii="宋体" w:hAnsi="宋体" w:eastAsia="宋体" w:cs="宋体"/>
                <w:color w:val="auto"/>
                <w:sz w:val="22"/>
                <w:szCs w:val="22"/>
                <w:highlight w:val="none"/>
                <w:lang w:val="en-US" w:eastAsia="zh-CN"/>
              </w:rPr>
            </w:pPr>
          </w:p>
        </w:tc>
      </w:tr>
      <w:tr w14:paraId="2ABDB61E">
        <w:tblPrEx>
          <w:tblCellMar>
            <w:top w:w="0" w:type="dxa"/>
            <w:left w:w="108" w:type="dxa"/>
            <w:bottom w:w="0" w:type="dxa"/>
            <w:right w:w="108" w:type="dxa"/>
          </w:tblCellMar>
        </w:tblPrEx>
        <w:trPr>
          <w:trHeight w:val="499" w:hRule="atLeast"/>
          <w:jc w:val="center"/>
        </w:trPr>
        <w:tc>
          <w:tcPr>
            <w:tcW w:w="647" w:type="dxa"/>
            <w:tcBorders>
              <w:top w:val="single" w:color="000000" w:sz="4" w:space="0"/>
              <w:left w:val="single" w:color="000000" w:sz="4" w:space="0"/>
              <w:bottom w:val="single" w:color="000000" w:sz="4" w:space="0"/>
              <w:right w:val="single" w:color="000000" w:sz="4" w:space="0"/>
            </w:tcBorders>
            <w:noWrap/>
            <w:vAlign w:val="center"/>
          </w:tcPr>
          <w:p w14:paraId="6DB3AD0F">
            <w:pPr>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17D5B4A0">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电子教室</w:t>
            </w:r>
          </w:p>
        </w:tc>
        <w:tc>
          <w:tcPr>
            <w:tcW w:w="6480" w:type="dxa"/>
            <w:tcBorders>
              <w:top w:val="single" w:color="000000" w:sz="4" w:space="0"/>
              <w:left w:val="single" w:color="000000" w:sz="4" w:space="0"/>
              <w:bottom w:val="single" w:color="000000" w:sz="4" w:space="0"/>
              <w:right w:val="single" w:color="000000" w:sz="4" w:space="0"/>
            </w:tcBorders>
            <w:noWrap w:val="0"/>
            <w:vAlign w:val="center"/>
          </w:tcPr>
          <w:p w14:paraId="61F7E9A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1、屏幕广播：将教师机屏幕和教师讲话实时广播给单一、部分或全体学生，可选择全屏或窗口方式。</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2、共享白板：教师可共享白板、桌面或图片与选定的学生共同完成相同的学习任务或绘画作品，提供学生也可以单独完成。</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3、网络影院：实现教师机播放的视频同步广播到学生机。</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4、屏幕录制：教师机可以将本地的操作和讲解过程录制为mp4录像文件，可以用 Windows 自带的 Media Player 直接播放。</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5、学生端屏幕录制、回放：学生端接收教师端广播的时候可以自动录制教师机广播教学的过程，课后可以重复观看学习。</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文件分发：允许教师将教师机不同盘符中的目录或文件一起发送至生机的某目录下。目录不存在自动新建此目录；盘符不存在或路径非法不允许分发；文件已存在选择自动覆盖或保留原始文件。</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6、文件提交：学生把做好的作业直接提交到教师机，方便教师批改作业要收取的麻烦。</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7、屏幕监视：教师机可以监视单一、部分、全体学生机的屏幕，教师机每屏可监视多个学生屏幕（方便监视操作及查看）。可以控制教师机监控的同屏幕各窗口间、屏幕与屏幕间的切换速度。可手动或自动循环监视。</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8、网页限制：设定学生访问网站的黑名单或白名单，对学生可以访问的Internet站点进行管理。支持多浏览器限制，如QQ、IE、谷歌、360、遨游等浏览器。</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9、程序限制：通过各种策略的应用，可防止学生在教学过程中打游戏，或使用QQ，MSN等聊天工具，支持限制U盘，网络映射盘，硬盘虚拟盘，虚拟光盘，内存虚拟盘里的程序。</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10、自动锁屏：独有的断线保护自动锁屏技术，通过网卡的是否激活来锁定屏幕，避免学生拔掉网线违反纪律。</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11、防杀进程：为安全起见，学生端程序运行后，防止学生通过任务管理器结束学生端程序进程来逃脱教师控制。</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请求帮助：学生端遇到问题可请求帮助，教师端可远程遥控帮助学生解决问题。</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4E6799BA">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0ED4A3A8">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套（120点位）</w:t>
            </w:r>
          </w:p>
        </w:tc>
        <w:tc>
          <w:tcPr>
            <w:tcW w:w="1357" w:type="dxa"/>
            <w:tcBorders>
              <w:top w:val="single" w:color="000000" w:sz="4" w:space="0"/>
              <w:left w:val="single" w:color="000000" w:sz="4" w:space="0"/>
              <w:bottom w:val="single" w:color="000000" w:sz="4" w:space="0"/>
              <w:right w:val="single" w:color="auto" w:sz="4" w:space="0"/>
            </w:tcBorders>
            <w:noWrap w:val="0"/>
            <w:vAlign w:val="center"/>
          </w:tcPr>
          <w:p w14:paraId="2E800740">
            <w:pPr>
              <w:rPr>
                <w:rFonts w:hint="eastAsia" w:ascii="宋体" w:hAnsi="宋体" w:eastAsia="宋体" w:cs="宋体"/>
                <w:color w:val="auto"/>
                <w:sz w:val="22"/>
                <w:szCs w:val="22"/>
                <w:highlight w:val="none"/>
              </w:rPr>
            </w:pPr>
          </w:p>
        </w:tc>
        <w:tc>
          <w:tcPr>
            <w:tcW w:w="1241" w:type="dxa"/>
            <w:tcBorders>
              <w:top w:val="single" w:color="000000" w:sz="4" w:space="0"/>
              <w:left w:val="single" w:color="auto" w:sz="4" w:space="0"/>
              <w:bottom w:val="single" w:color="000000" w:sz="4" w:space="0"/>
              <w:right w:val="single" w:color="auto" w:sz="4" w:space="0"/>
            </w:tcBorders>
            <w:noWrap w:val="0"/>
            <w:vAlign w:val="center"/>
          </w:tcPr>
          <w:p w14:paraId="6F31380C">
            <w:pPr>
              <w:rPr>
                <w:rFonts w:hint="eastAsia" w:ascii="宋体" w:hAnsi="宋体" w:eastAsia="宋体" w:cs="宋体"/>
                <w:color w:val="auto"/>
                <w:sz w:val="22"/>
                <w:szCs w:val="22"/>
                <w:highlight w:val="none"/>
              </w:rPr>
            </w:pPr>
          </w:p>
        </w:tc>
        <w:tc>
          <w:tcPr>
            <w:tcW w:w="1763" w:type="dxa"/>
            <w:tcBorders>
              <w:top w:val="single" w:color="000000" w:sz="4" w:space="0"/>
              <w:left w:val="single" w:color="auto" w:sz="4" w:space="0"/>
              <w:bottom w:val="single" w:color="000000" w:sz="4" w:space="0"/>
              <w:right w:val="single" w:color="000000" w:sz="4" w:space="0"/>
            </w:tcBorders>
            <w:noWrap w:val="0"/>
            <w:vAlign w:val="center"/>
          </w:tcPr>
          <w:p w14:paraId="6AFBA386">
            <w:pPr>
              <w:rPr>
                <w:rFonts w:hint="eastAsia" w:ascii="宋体" w:hAnsi="宋体" w:eastAsia="宋体" w:cs="宋体"/>
                <w:color w:val="auto"/>
                <w:sz w:val="22"/>
                <w:szCs w:val="22"/>
                <w:highlight w:val="none"/>
              </w:rPr>
            </w:pPr>
          </w:p>
        </w:tc>
      </w:tr>
      <w:tr w14:paraId="54A3BA41">
        <w:tblPrEx>
          <w:tblCellMar>
            <w:top w:w="0" w:type="dxa"/>
            <w:left w:w="108" w:type="dxa"/>
            <w:bottom w:w="0" w:type="dxa"/>
            <w:right w:w="108" w:type="dxa"/>
          </w:tblCellMar>
        </w:tblPrEx>
        <w:trPr>
          <w:trHeight w:val="499" w:hRule="atLeast"/>
          <w:jc w:val="center"/>
        </w:trPr>
        <w:tc>
          <w:tcPr>
            <w:tcW w:w="647" w:type="dxa"/>
            <w:tcBorders>
              <w:top w:val="single" w:color="000000" w:sz="4" w:space="0"/>
              <w:left w:val="single" w:color="000000" w:sz="4" w:space="0"/>
              <w:bottom w:val="single" w:color="000000" w:sz="4" w:space="0"/>
              <w:right w:val="single" w:color="000000" w:sz="4" w:space="0"/>
            </w:tcBorders>
            <w:noWrap/>
            <w:vAlign w:val="center"/>
          </w:tcPr>
          <w:p w14:paraId="413A99C8">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5A571158">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智能交互平板</w:t>
            </w:r>
          </w:p>
        </w:tc>
        <w:tc>
          <w:tcPr>
            <w:tcW w:w="6480" w:type="dxa"/>
            <w:tcBorders>
              <w:top w:val="single" w:color="000000" w:sz="4" w:space="0"/>
              <w:left w:val="single" w:color="000000" w:sz="4" w:space="0"/>
              <w:bottom w:val="single" w:color="000000" w:sz="4" w:space="0"/>
              <w:right w:val="single" w:color="000000" w:sz="4" w:space="0"/>
            </w:tcBorders>
            <w:noWrap w:val="0"/>
            <w:vAlign w:val="center"/>
          </w:tcPr>
          <w:p w14:paraId="0E159890">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1.智能交互平板显示尺寸86英寸，分辨率：3840*2160，采用红外触控技术，在双系统下均支持20点同时触控及书写，智能交互平板显示部分需采用高色彩覆盖技术，NTSC色域标准下覆盖率不低于95%。</w:t>
            </w:r>
          </w:p>
          <w:p w14:paraId="07945D86">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2.设备采用物理减滤蓝光设计，无需其他的多余按键操作即可实现防蓝光，有效保护用眼健康，通过扫描设备自带的二维码可获取检测机构的认证信息。</w:t>
            </w:r>
          </w:p>
          <w:p w14:paraId="27A6CF61">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3.为方便外接信号源的输入以及满足数据的高速传输需求，设备至少1路前置HDMI接口（非转接）、2路前置USB3.0接口1路Type-C接口，同时为方便用户外接拓展设备，整机标配1路VGA输入接口。</w:t>
            </w:r>
          </w:p>
          <w:p w14:paraId="394B3B5E">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 xml:space="preserve">4.为方便用户进行各类设置和操作，设备前置按键不少于7个，可快速进行音量加减、窗口关闭、触控开关等功能的设置和调用，且均具备按键复用功能。 </w:t>
            </w:r>
          </w:p>
          <w:p w14:paraId="105145C8">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5.内置电脑</w:t>
            </w:r>
          </w:p>
          <w:p w14:paraId="4DB6DBBA">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⑴采用80pin Intel通用标准接口,即插即用，易于维护；</w:t>
            </w:r>
          </w:p>
          <w:p w14:paraId="270D6026">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⑵CPU采用Intel第11代及以上平台处理器酷睿I5处理器；</w:t>
            </w:r>
          </w:p>
          <w:p w14:paraId="6E433192">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 xml:space="preserve">⑶内存：不低于8G DDR4；硬盘：不低于256G SSD固态硬盘； </w:t>
            </w:r>
          </w:p>
          <w:p w14:paraId="6CA2FE3B">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⑷接口：整机非外扩展具备5个USB接口；具有独立非外扩展的视频输出接口：1路HDMI等。</w:t>
            </w:r>
          </w:p>
          <w:p w14:paraId="2112EBE8">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6.保修：整机提供3年质保及免费上门服务。</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6F4F6B89">
            <w:pPr>
              <w:keepNext w:val="0"/>
              <w:keepLines w:val="0"/>
              <w:pageBreakBefore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2F7AF190">
            <w:pPr>
              <w:keepNext w:val="0"/>
              <w:keepLines w:val="0"/>
              <w:pageBreakBefore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台</w:t>
            </w:r>
          </w:p>
        </w:tc>
        <w:tc>
          <w:tcPr>
            <w:tcW w:w="1357" w:type="dxa"/>
            <w:tcBorders>
              <w:top w:val="single" w:color="000000" w:sz="4" w:space="0"/>
              <w:left w:val="single" w:color="000000" w:sz="4" w:space="0"/>
              <w:bottom w:val="single" w:color="000000" w:sz="4" w:space="0"/>
              <w:right w:val="single" w:color="auto" w:sz="4" w:space="0"/>
            </w:tcBorders>
            <w:noWrap/>
            <w:vAlign w:val="center"/>
          </w:tcPr>
          <w:p w14:paraId="35DE41D2">
            <w:pPr>
              <w:rPr>
                <w:rFonts w:hint="eastAsia" w:ascii="宋体" w:hAnsi="宋体" w:eastAsia="宋体" w:cs="宋体"/>
                <w:color w:val="auto"/>
                <w:sz w:val="22"/>
                <w:szCs w:val="22"/>
                <w:highlight w:val="none"/>
              </w:rPr>
            </w:pPr>
          </w:p>
        </w:tc>
        <w:tc>
          <w:tcPr>
            <w:tcW w:w="1241" w:type="dxa"/>
            <w:tcBorders>
              <w:top w:val="single" w:color="000000" w:sz="4" w:space="0"/>
              <w:left w:val="single" w:color="auto" w:sz="4" w:space="0"/>
              <w:bottom w:val="single" w:color="000000" w:sz="4" w:space="0"/>
              <w:right w:val="single" w:color="auto" w:sz="4" w:space="0"/>
            </w:tcBorders>
            <w:noWrap/>
            <w:vAlign w:val="center"/>
          </w:tcPr>
          <w:p w14:paraId="05AB6B04">
            <w:pPr>
              <w:rPr>
                <w:rFonts w:hint="eastAsia" w:ascii="宋体" w:hAnsi="宋体" w:eastAsia="宋体" w:cs="宋体"/>
                <w:color w:val="auto"/>
                <w:sz w:val="22"/>
                <w:szCs w:val="22"/>
                <w:highlight w:val="none"/>
              </w:rPr>
            </w:pPr>
          </w:p>
        </w:tc>
        <w:tc>
          <w:tcPr>
            <w:tcW w:w="1763" w:type="dxa"/>
            <w:tcBorders>
              <w:top w:val="single" w:color="000000" w:sz="4" w:space="0"/>
              <w:left w:val="single" w:color="auto" w:sz="4" w:space="0"/>
              <w:bottom w:val="single" w:color="000000" w:sz="4" w:space="0"/>
              <w:right w:val="single" w:color="000000" w:sz="4" w:space="0"/>
            </w:tcBorders>
            <w:noWrap/>
            <w:vAlign w:val="center"/>
          </w:tcPr>
          <w:p w14:paraId="521C874E">
            <w:pPr>
              <w:rPr>
                <w:rFonts w:hint="eastAsia" w:ascii="宋体" w:hAnsi="宋体" w:eastAsia="宋体" w:cs="宋体"/>
                <w:color w:val="auto"/>
                <w:sz w:val="22"/>
                <w:szCs w:val="22"/>
                <w:highlight w:val="none"/>
              </w:rPr>
            </w:pPr>
          </w:p>
        </w:tc>
      </w:tr>
      <w:tr w14:paraId="005D94E9">
        <w:tblPrEx>
          <w:tblCellMar>
            <w:top w:w="0" w:type="dxa"/>
            <w:left w:w="108" w:type="dxa"/>
            <w:bottom w:w="0" w:type="dxa"/>
            <w:right w:w="108" w:type="dxa"/>
          </w:tblCellMar>
        </w:tblPrEx>
        <w:trPr>
          <w:trHeight w:val="5679" w:hRule="atLeast"/>
          <w:jc w:val="center"/>
        </w:trPr>
        <w:tc>
          <w:tcPr>
            <w:tcW w:w="647" w:type="dxa"/>
            <w:tcBorders>
              <w:top w:val="single" w:color="000000" w:sz="4" w:space="0"/>
              <w:left w:val="single" w:color="000000" w:sz="4" w:space="0"/>
              <w:bottom w:val="single" w:color="000000" w:sz="4" w:space="0"/>
              <w:right w:val="single" w:color="000000" w:sz="4" w:space="0"/>
            </w:tcBorders>
            <w:noWrap/>
            <w:vAlign w:val="center"/>
          </w:tcPr>
          <w:p w14:paraId="78372945">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5</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622CC375">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电脑桌面开关</w:t>
            </w:r>
          </w:p>
        </w:tc>
        <w:tc>
          <w:tcPr>
            <w:tcW w:w="6480" w:type="dxa"/>
            <w:tcBorders>
              <w:top w:val="single" w:color="000000" w:sz="4" w:space="0"/>
              <w:left w:val="single" w:color="000000" w:sz="4" w:space="0"/>
              <w:bottom w:val="single" w:color="000000" w:sz="4" w:space="0"/>
              <w:right w:val="single" w:color="000000" w:sz="4" w:space="0"/>
            </w:tcBorders>
            <w:noWrap w:val="0"/>
            <w:vAlign w:val="center"/>
          </w:tcPr>
          <w:p w14:paraId="03CD868A">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5" w:leftChars="0" w:hanging="425"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1.</w:t>
            </w:r>
            <w:r>
              <w:rPr>
                <w:rFonts w:hint="eastAsia" w:ascii="宋体" w:hAnsi="宋体" w:eastAsia="宋体" w:cs="宋体"/>
                <w:color w:val="auto"/>
                <w:sz w:val="18"/>
                <w:szCs w:val="18"/>
                <w:highlight w:val="none"/>
                <w:lang w:val="en-US" w:eastAsia="zh-CN"/>
              </w:rPr>
              <w:t>电源开关：必备功能，用于开启或关闭机箱电源。</w:t>
            </w:r>
          </w:p>
          <w:p w14:paraId="4E4F947F">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5" w:leftChars="0" w:hanging="425"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2.</w:t>
            </w:r>
            <w:r>
              <w:rPr>
                <w:rFonts w:hint="eastAsia" w:ascii="宋体" w:hAnsi="宋体" w:eastAsia="宋体" w:cs="宋体"/>
                <w:color w:val="auto"/>
                <w:sz w:val="18"/>
                <w:szCs w:val="18"/>
                <w:highlight w:val="none"/>
                <w:lang w:val="en-US" w:eastAsia="zh-CN"/>
              </w:rPr>
              <w:t>复位开关：大部分机箱具备，用于在系统出现故障时重启电脑。</w:t>
            </w:r>
          </w:p>
          <w:p w14:paraId="3422D2D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5" w:leftChars="0" w:hanging="425"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3.</w:t>
            </w:r>
            <w:r>
              <w:rPr>
                <w:rFonts w:hint="eastAsia" w:ascii="宋体" w:hAnsi="宋体" w:eastAsia="宋体" w:cs="宋体"/>
                <w:color w:val="auto"/>
                <w:sz w:val="18"/>
                <w:szCs w:val="18"/>
                <w:highlight w:val="none"/>
                <w:lang w:val="en-US" w:eastAsia="zh-CN"/>
              </w:rPr>
              <w:t>电源指示灯：单个 LED 灯，通常为绿色或白色，当指示灯亮起时，表示系统已通电。</w:t>
            </w:r>
          </w:p>
          <w:p w14:paraId="4697A4A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5" w:leftChars="0" w:hanging="425"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4.</w:t>
            </w:r>
            <w:r>
              <w:rPr>
                <w:rFonts w:hint="eastAsia" w:ascii="宋体" w:hAnsi="宋体" w:eastAsia="宋体" w:cs="宋体"/>
                <w:color w:val="auto"/>
                <w:sz w:val="18"/>
                <w:szCs w:val="18"/>
                <w:highlight w:val="none"/>
                <w:lang w:val="en-US" w:eastAsia="zh-CN"/>
              </w:rPr>
              <w:t>硬盘活动指示灯：单个 LED 灯，通常为红色，当指示灯闪烁时，表示硬盘正在进行读写操作。</w:t>
            </w:r>
          </w:p>
          <w:p w14:paraId="6FC1515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5" w:leftChars="0" w:hanging="425"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5.</w:t>
            </w:r>
            <w:r>
              <w:rPr>
                <w:rFonts w:hint="eastAsia" w:ascii="宋体" w:hAnsi="宋体" w:eastAsia="宋体" w:cs="宋体"/>
                <w:color w:val="auto"/>
                <w:sz w:val="18"/>
                <w:szCs w:val="18"/>
                <w:highlight w:val="none"/>
                <w:lang w:val="en-US" w:eastAsia="zh-CN"/>
              </w:rPr>
              <w:t>前置音频接口：采用 3.5mm 规格，包含耳机插孔和麦克风插孔，方便用户连接音频设备。</w:t>
            </w:r>
          </w:p>
          <w:p w14:paraId="0EE152D8">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5" w:leftChars="0" w:hanging="425"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6.</w:t>
            </w:r>
            <w:r>
              <w:rPr>
                <w:rFonts w:hint="eastAsia" w:ascii="宋体" w:hAnsi="宋体" w:eastAsia="宋体" w:cs="宋体"/>
                <w:color w:val="auto"/>
                <w:sz w:val="18"/>
                <w:szCs w:val="18"/>
                <w:highlight w:val="none"/>
                <w:lang w:val="en-US" w:eastAsia="zh-CN"/>
              </w:rPr>
              <w:t>前置 USB 接口：</w:t>
            </w:r>
          </w:p>
          <w:p w14:paraId="64FDC280">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5" w:leftChars="0" w:hanging="425"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USB 2.0 接口：传输速度相对较慢，适用于连接对传输速度要求不高的设备。</w:t>
            </w:r>
          </w:p>
          <w:p w14:paraId="736D5FE1">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5" w:leftChars="0" w:hanging="425"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USB 3.0 接口：接口颜色通常为蓝色（Type-A 口），传输速度比 USB 2.0 快。</w:t>
            </w:r>
          </w:p>
          <w:p w14:paraId="3665130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5" w:leftChars="0" w:hanging="425"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USB 3.1 / 3.2 Gen 1 / Gen 2 接口：在传输速度上有所提升，满足不同设备的数据传输需求。</w:t>
            </w:r>
          </w:p>
          <w:p w14:paraId="4CFD5951">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5" w:leftChars="0" w:hanging="425"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7.</w:t>
            </w:r>
            <w:r>
              <w:rPr>
                <w:rFonts w:hint="eastAsia" w:ascii="宋体" w:hAnsi="宋体" w:eastAsia="宋体" w:cs="宋体"/>
                <w:color w:val="auto"/>
                <w:sz w:val="18"/>
                <w:szCs w:val="18"/>
                <w:highlight w:val="none"/>
                <w:lang w:val="en-US" w:eastAsia="zh-CN"/>
              </w:rPr>
              <w:t>安装方式通常有两种：</w:t>
            </w:r>
          </w:p>
          <w:p w14:paraId="68DDDBB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5" w:leftChars="0" w:hanging="425"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卡扣式：通过模块自身的卡扣结构，直接卡在机箱前面板的开孔处，安装和拆卸较为便捷。</w:t>
            </w:r>
          </w:p>
          <w:p w14:paraId="2F796B5E">
            <w:pPr>
              <w:pStyle w:val="639"/>
              <w:keepNext w:val="0"/>
              <w:keepLines w:val="0"/>
              <w:pageBreakBefore w:val="0"/>
              <w:numPr>
                <w:ilvl w:val="0"/>
                <w:numId w:val="0"/>
              </w:numPr>
              <w:kinsoku/>
              <w:wordWrap/>
              <w:overflowPunct/>
              <w:topLinePunct w:val="0"/>
              <w:autoSpaceDE/>
              <w:autoSpaceDN/>
              <w:bidi w:val="0"/>
              <w:adjustRightInd/>
              <w:snapToGrid/>
              <w:spacing w:line="300" w:lineRule="exact"/>
              <w:ind w:left="0" w:leftChars="0" w:firstLine="0" w:firstLineChars="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螺丝固定：使用螺丝将开关模块固定在机箱前面板上，这种安装方式更为稳固，可有效防止模块松动。</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78752348">
            <w:pPr>
              <w:keepNext w:val="0"/>
              <w:keepLines w:val="0"/>
              <w:pageBreakBefore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120</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429BFD1C">
            <w:pPr>
              <w:keepNext w:val="0"/>
              <w:keepLines w:val="0"/>
              <w:pageBreakBefore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个</w:t>
            </w:r>
          </w:p>
        </w:tc>
        <w:tc>
          <w:tcPr>
            <w:tcW w:w="1357" w:type="dxa"/>
            <w:tcBorders>
              <w:top w:val="single" w:color="000000" w:sz="4" w:space="0"/>
              <w:left w:val="single" w:color="000000" w:sz="4" w:space="0"/>
              <w:bottom w:val="single" w:color="000000" w:sz="4" w:space="0"/>
              <w:right w:val="single" w:color="auto" w:sz="4" w:space="0"/>
            </w:tcBorders>
            <w:noWrap/>
            <w:vAlign w:val="center"/>
          </w:tcPr>
          <w:p w14:paraId="22316D5B">
            <w:pPr>
              <w:rPr>
                <w:rFonts w:hint="eastAsia" w:ascii="宋体" w:hAnsi="宋体" w:eastAsia="宋体" w:cs="宋体"/>
                <w:color w:val="auto"/>
                <w:sz w:val="22"/>
                <w:szCs w:val="22"/>
                <w:highlight w:val="none"/>
              </w:rPr>
            </w:pPr>
          </w:p>
        </w:tc>
        <w:tc>
          <w:tcPr>
            <w:tcW w:w="1241" w:type="dxa"/>
            <w:tcBorders>
              <w:top w:val="single" w:color="000000" w:sz="4" w:space="0"/>
              <w:left w:val="single" w:color="auto" w:sz="4" w:space="0"/>
              <w:bottom w:val="single" w:color="000000" w:sz="4" w:space="0"/>
              <w:right w:val="single" w:color="auto" w:sz="4" w:space="0"/>
            </w:tcBorders>
            <w:noWrap/>
            <w:vAlign w:val="center"/>
          </w:tcPr>
          <w:p w14:paraId="43C018CA">
            <w:pPr>
              <w:rPr>
                <w:rFonts w:hint="eastAsia" w:ascii="宋体" w:hAnsi="宋体" w:eastAsia="宋体" w:cs="宋体"/>
                <w:color w:val="auto"/>
                <w:sz w:val="22"/>
                <w:szCs w:val="22"/>
                <w:highlight w:val="none"/>
              </w:rPr>
            </w:pPr>
          </w:p>
        </w:tc>
        <w:tc>
          <w:tcPr>
            <w:tcW w:w="1763" w:type="dxa"/>
            <w:tcBorders>
              <w:top w:val="single" w:color="000000" w:sz="4" w:space="0"/>
              <w:left w:val="single" w:color="auto" w:sz="4" w:space="0"/>
              <w:bottom w:val="single" w:color="000000" w:sz="4" w:space="0"/>
              <w:right w:val="single" w:color="000000" w:sz="4" w:space="0"/>
            </w:tcBorders>
            <w:noWrap/>
            <w:vAlign w:val="center"/>
          </w:tcPr>
          <w:p w14:paraId="765D0923">
            <w:pPr>
              <w:rPr>
                <w:rFonts w:hint="eastAsia" w:ascii="宋体" w:hAnsi="宋体" w:eastAsia="宋体" w:cs="宋体"/>
                <w:color w:val="auto"/>
                <w:sz w:val="22"/>
                <w:szCs w:val="22"/>
                <w:highlight w:val="none"/>
              </w:rPr>
            </w:pPr>
          </w:p>
        </w:tc>
      </w:tr>
      <w:tr w14:paraId="0952835B">
        <w:tblPrEx>
          <w:tblCellMar>
            <w:top w:w="0" w:type="dxa"/>
            <w:left w:w="108" w:type="dxa"/>
            <w:bottom w:w="0" w:type="dxa"/>
            <w:right w:w="108" w:type="dxa"/>
          </w:tblCellMar>
        </w:tblPrEx>
        <w:trPr>
          <w:trHeight w:val="499" w:hRule="atLeast"/>
          <w:jc w:val="center"/>
        </w:trPr>
        <w:tc>
          <w:tcPr>
            <w:tcW w:w="14542" w:type="dxa"/>
            <w:gridSpan w:val="8"/>
            <w:tcBorders>
              <w:top w:val="single" w:color="000000" w:sz="4" w:space="0"/>
              <w:left w:val="single" w:color="000000" w:sz="4" w:space="0"/>
              <w:bottom w:val="single" w:color="000000" w:sz="4" w:space="0"/>
              <w:right w:val="single" w:color="000000" w:sz="4" w:space="0"/>
            </w:tcBorders>
            <w:noWrap/>
            <w:vAlign w:val="center"/>
          </w:tcPr>
          <w:p w14:paraId="2C3C83A2">
            <w:pPr>
              <w:keepNext w:val="0"/>
              <w:keepLines w:val="0"/>
              <w:pageBreakBefore w:val="0"/>
              <w:widowControl w:val="0"/>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b/>
                <w:bCs/>
                <w:color w:val="auto"/>
                <w:sz w:val="21"/>
                <w:szCs w:val="21"/>
                <w:highlight w:val="none"/>
                <w:lang w:val="en-US" w:eastAsia="zh-CN"/>
              </w:rPr>
              <w:t>（二）实训室配套清单</w:t>
            </w:r>
          </w:p>
        </w:tc>
      </w:tr>
      <w:tr w14:paraId="68CD3C9B">
        <w:tblPrEx>
          <w:tblCellMar>
            <w:top w:w="0" w:type="dxa"/>
            <w:left w:w="108" w:type="dxa"/>
            <w:bottom w:w="0" w:type="dxa"/>
            <w:right w:w="108" w:type="dxa"/>
          </w:tblCellMar>
        </w:tblPrEx>
        <w:trPr>
          <w:trHeight w:val="499" w:hRule="atLeast"/>
          <w:jc w:val="center"/>
        </w:trPr>
        <w:tc>
          <w:tcPr>
            <w:tcW w:w="647" w:type="dxa"/>
            <w:tcBorders>
              <w:top w:val="single" w:color="000000" w:sz="4" w:space="0"/>
              <w:left w:val="single" w:color="000000" w:sz="4" w:space="0"/>
              <w:bottom w:val="single" w:color="000000" w:sz="4" w:space="0"/>
              <w:right w:val="single" w:color="000000" w:sz="4" w:space="0"/>
            </w:tcBorders>
            <w:noWrap/>
            <w:vAlign w:val="center"/>
          </w:tcPr>
          <w:p w14:paraId="69B30B61">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52D3A694">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安装施工</w:t>
            </w:r>
          </w:p>
        </w:tc>
        <w:tc>
          <w:tcPr>
            <w:tcW w:w="6480" w:type="dxa"/>
            <w:tcBorders>
              <w:top w:val="single" w:color="000000" w:sz="4" w:space="0"/>
              <w:left w:val="single" w:color="000000" w:sz="4" w:space="0"/>
              <w:bottom w:val="single" w:color="000000" w:sz="4" w:space="0"/>
              <w:right w:val="single" w:color="000000" w:sz="4" w:space="0"/>
            </w:tcBorders>
            <w:noWrap w:val="0"/>
            <w:vAlign w:val="center"/>
          </w:tcPr>
          <w:p w14:paraId="617237A3">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1、</w:t>
            </w:r>
            <w:r>
              <w:rPr>
                <w:rFonts w:hint="eastAsia" w:ascii="宋体" w:hAnsi="宋体" w:eastAsia="宋体" w:cs="宋体"/>
                <w:color w:val="auto"/>
                <w:sz w:val="18"/>
                <w:szCs w:val="18"/>
                <w:highlight w:val="none"/>
                <w:lang w:val="en-US" w:eastAsia="zh-CN"/>
              </w:rPr>
              <w:t>包含Aol电箱移位改造、4㎡电线、超五类网线、8芯光缆、满配终端盒、熔接、跳纤。</w:t>
            </w:r>
          </w:p>
          <w:p w14:paraId="1BE92873">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2、</w:t>
            </w:r>
            <w:r>
              <w:rPr>
                <w:rFonts w:hint="eastAsia" w:ascii="宋体" w:hAnsi="宋体" w:eastAsia="宋体" w:cs="宋体"/>
                <w:color w:val="auto"/>
                <w:sz w:val="18"/>
                <w:szCs w:val="18"/>
                <w:highlight w:val="none"/>
                <w:lang w:val="en-US" w:eastAsia="zh-CN"/>
              </w:rPr>
              <w:t>墙面处理（刮白粉刷处理）、PVC管材以及相应辅材。</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642A8929">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4A807105">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间</w:t>
            </w:r>
          </w:p>
        </w:tc>
        <w:tc>
          <w:tcPr>
            <w:tcW w:w="1357" w:type="dxa"/>
            <w:tcBorders>
              <w:top w:val="single" w:color="000000" w:sz="4" w:space="0"/>
              <w:left w:val="single" w:color="000000" w:sz="4" w:space="0"/>
              <w:bottom w:val="single" w:color="000000" w:sz="4" w:space="0"/>
              <w:right w:val="single" w:color="auto" w:sz="4" w:space="0"/>
            </w:tcBorders>
            <w:noWrap/>
            <w:vAlign w:val="center"/>
          </w:tcPr>
          <w:p w14:paraId="3DBBE012">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rPr>
            </w:pPr>
          </w:p>
        </w:tc>
        <w:tc>
          <w:tcPr>
            <w:tcW w:w="1241" w:type="dxa"/>
            <w:tcBorders>
              <w:top w:val="single" w:color="000000" w:sz="4" w:space="0"/>
              <w:left w:val="single" w:color="auto" w:sz="4" w:space="0"/>
              <w:bottom w:val="single" w:color="000000" w:sz="4" w:space="0"/>
              <w:right w:val="single" w:color="auto" w:sz="4" w:space="0"/>
            </w:tcBorders>
            <w:noWrap/>
            <w:vAlign w:val="center"/>
          </w:tcPr>
          <w:p w14:paraId="48C736C9">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rPr>
            </w:pPr>
          </w:p>
        </w:tc>
        <w:tc>
          <w:tcPr>
            <w:tcW w:w="1763" w:type="dxa"/>
            <w:tcBorders>
              <w:top w:val="single" w:color="000000" w:sz="4" w:space="0"/>
              <w:left w:val="single" w:color="auto" w:sz="4" w:space="0"/>
              <w:bottom w:val="single" w:color="000000" w:sz="4" w:space="0"/>
              <w:right w:val="single" w:color="000000" w:sz="4" w:space="0"/>
            </w:tcBorders>
            <w:noWrap/>
            <w:vAlign w:val="center"/>
          </w:tcPr>
          <w:p w14:paraId="348EFD55">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rPr>
            </w:pPr>
          </w:p>
        </w:tc>
      </w:tr>
      <w:tr w14:paraId="171D12B4">
        <w:tblPrEx>
          <w:tblCellMar>
            <w:top w:w="0" w:type="dxa"/>
            <w:left w:w="108" w:type="dxa"/>
            <w:bottom w:w="0" w:type="dxa"/>
            <w:right w:w="108" w:type="dxa"/>
          </w:tblCellMar>
        </w:tblPrEx>
        <w:trPr>
          <w:trHeight w:val="499" w:hRule="atLeast"/>
          <w:jc w:val="center"/>
        </w:trPr>
        <w:tc>
          <w:tcPr>
            <w:tcW w:w="647" w:type="dxa"/>
            <w:tcBorders>
              <w:top w:val="single" w:color="000000" w:sz="4" w:space="0"/>
              <w:left w:val="single" w:color="000000" w:sz="4" w:space="0"/>
              <w:bottom w:val="single" w:color="000000" w:sz="4" w:space="0"/>
              <w:right w:val="single" w:color="000000" w:sz="4" w:space="0"/>
            </w:tcBorders>
            <w:noWrap/>
            <w:vAlign w:val="center"/>
          </w:tcPr>
          <w:p w14:paraId="1532BDD4">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73C201C6">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综合布线以及安装调试</w:t>
            </w:r>
          </w:p>
        </w:tc>
        <w:tc>
          <w:tcPr>
            <w:tcW w:w="6480" w:type="dxa"/>
            <w:tcBorders>
              <w:top w:val="single" w:color="000000" w:sz="4" w:space="0"/>
              <w:left w:val="single" w:color="000000" w:sz="4" w:space="0"/>
              <w:bottom w:val="single" w:color="000000" w:sz="4" w:space="0"/>
              <w:right w:val="single" w:color="000000" w:sz="4" w:space="0"/>
            </w:tcBorders>
            <w:noWrap w:val="0"/>
            <w:vAlign w:val="center"/>
          </w:tcPr>
          <w:p w14:paraId="02CA5215">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所需的2.5㎡、4㎡强电线缆，六类网线弱电线缆以及相应的公牛排插等辅材，搬运安装调试</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2A921317">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75F16F1D">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批</w:t>
            </w:r>
          </w:p>
        </w:tc>
        <w:tc>
          <w:tcPr>
            <w:tcW w:w="1357" w:type="dxa"/>
            <w:tcBorders>
              <w:top w:val="single" w:color="000000" w:sz="4" w:space="0"/>
              <w:left w:val="single" w:color="000000" w:sz="4" w:space="0"/>
              <w:bottom w:val="single" w:color="000000" w:sz="4" w:space="0"/>
              <w:right w:val="single" w:color="auto" w:sz="4" w:space="0"/>
            </w:tcBorders>
            <w:noWrap/>
            <w:vAlign w:val="center"/>
          </w:tcPr>
          <w:p w14:paraId="7B9680F0">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rPr>
            </w:pPr>
          </w:p>
        </w:tc>
        <w:tc>
          <w:tcPr>
            <w:tcW w:w="1241" w:type="dxa"/>
            <w:tcBorders>
              <w:top w:val="single" w:color="000000" w:sz="4" w:space="0"/>
              <w:left w:val="single" w:color="auto" w:sz="4" w:space="0"/>
              <w:bottom w:val="single" w:color="000000" w:sz="4" w:space="0"/>
              <w:right w:val="single" w:color="auto" w:sz="4" w:space="0"/>
            </w:tcBorders>
            <w:noWrap/>
            <w:vAlign w:val="center"/>
          </w:tcPr>
          <w:p w14:paraId="4E51C051">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rPr>
            </w:pPr>
          </w:p>
        </w:tc>
        <w:tc>
          <w:tcPr>
            <w:tcW w:w="1763" w:type="dxa"/>
            <w:tcBorders>
              <w:top w:val="single" w:color="000000" w:sz="4" w:space="0"/>
              <w:left w:val="single" w:color="auto" w:sz="4" w:space="0"/>
              <w:bottom w:val="single" w:color="000000" w:sz="4" w:space="0"/>
              <w:right w:val="single" w:color="000000" w:sz="4" w:space="0"/>
            </w:tcBorders>
            <w:noWrap/>
            <w:vAlign w:val="center"/>
          </w:tcPr>
          <w:p w14:paraId="32AFD438">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rPr>
            </w:pPr>
          </w:p>
        </w:tc>
      </w:tr>
      <w:tr w14:paraId="550F6462">
        <w:tblPrEx>
          <w:tblCellMar>
            <w:top w:w="0" w:type="dxa"/>
            <w:left w:w="108" w:type="dxa"/>
            <w:bottom w:w="0" w:type="dxa"/>
            <w:right w:w="108" w:type="dxa"/>
          </w:tblCellMar>
        </w:tblPrEx>
        <w:trPr>
          <w:trHeight w:val="499" w:hRule="atLeast"/>
          <w:jc w:val="center"/>
        </w:trPr>
        <w:tc>
          <w:tcPr>
            <w:tcW w:w="647" w:type="dxa"/>
            <w:tcBorders>
              <w:top w:val="single" w:color="000000" w:sz="4" w:space="0"/>
              <w:left w:val="single" w:color="000000" w:sz="4" w:space="0"/>
              <w:bottom w:val="single" w:color="000000" w:sz="4" w:space="0"/>
              <w:right w:val="single" w:color="000000" w:sz="4" w:space="0"/>
            </w:tcBorders>
            <w:noWrap/>
            <w:vAlign w:val="center"/>
          </w:tcPr>
          <w:p w14:paraId="6861AB1F">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238A5E10">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机柜</w:t>
            </w:r>
          </w:p>
        </w:tc>
        <w:tc>
          <w:tcPr>
            <w:tcW w:w="6480" w:type="dxa"/>
            <w:tcBorders>
              <w:top w:val="single" w:color="000000" w:sz="4" w:space="0"/>
              <w:left w:val="single" w:color="000000" w:sz="4" w:space="0"/>
              <w:bottom w:val="single" w:color="000000" w:sz="4" w:space="0"/>
              <w:right w:val="single" w:color="000000" w:sz="4" w:space="0"/>
            </w:tcBorders>
            <w:noWrap w:val="0"/>
            <w:vAlign w:val="center"/>
          </w:tcPr>
          <w:p w14:paraId="08C46940">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1、参数要求</w:t>
            </w:r>
            <w:r>
              <w:rPr>
                <w:rFonts w:hint="eastAsia" w:ascii="宋体" w:hAnsi="宋体" w:eastAsia="宋体" w:cs="宋体"/>
                <w:b w:val="0"/>
                <w:bCs w:val="0"/>
                <w:color w:val="auto"/>
                <w:sz w:val="18"/>
                <w:szCs w:val="18"/>
                <w:highlight w:val="none"/>
                <w:lang w:val="en-US" w:eastAsia="zh-CN"/>
              </w:rPr>
              <w:t>≥</w:t>
            </w:r>
            <w:r>
              <w:rPr>
                <w:rFonts w:hint="eastAsia" w:ascii="宋体" w:hAnsi="宋体" w:eastAsia="宋体" w:cs="宋体"/>
                <w:color w:val="auto"/>
                <w:kern w:val="0"/>
                <w:sz w:val="18"/>
                <w:szCs w:val="18"/>
                <w:highlight w:val="none"/>
                <w:lang w:val="en-US" w:eastAsia="zh-CN" w:bidi="ar"/>
              </w:rPr>
              <w:t>600*800*1200mm，整体框架结构，材料：框架: SPCC优质冷轧钢板；厚度：方孔条</w:t>
            </w:r>
            <w:r>
              <w:rPr>
                <w:rFonts w:hint="eastAsia" w:ascii="宋体" w:hAnsi="宋体" w:eastAsia="宋体" w:cs="宋体"/>
                <w:b w:val="0"/>
                <w:bCs w:val="0"/>
                <w:color w:val="auto"/>
                <w:sz w:val="18"/>
                <w:szCs w:val="18"/>
                <w:highlight w:val="none"/>
                <w:lang w:val="en-US" w:eastAsia="zh-CN"/>
              </w:rPr>
              <w:t>≥</w:t>
            </w:r>
            <w:r>
              <w:rPr>
                <w:rFonts w:hint="eastAsia" w:ascii="宋体" w:hAnsi="宋体" w:eastAsia="宋体" w:cs="宋体"/>
                <w:color w:val="auto"/>
                <w:kern w:val="0"/>
                <w:sz w:val="18"/>
                <w:szCs w:val="18"/>
                <w:highlight w:val="none"/>
                <w:lang w:val="en-US" w:eastAsia="zh-CN" w:bidi="ar"/>
              </w:rPr>
              <w:t>2.0mm，安装梁</w:t>
            </w:r>
            <w:r>
              <w:rPr>
                <w:rFonts w:hint="eastAsia" w:ascii="宋体" w:hAnsi="宋体" w:eastAsia="宋体" w:cs="宋体"/>
                <w:b w:val="0"/>
                <w:bCs w:val="0"/>
                <w:color w:val="auto"/>
                <w:sz w:val="18"/>
                <w:szCs w:val="18"/>
                <w:highlight w:val="none"/>
                <w:lang w:val="en-US" w:eastAsia="zh-CN"/>
              </w:rPr>
              <w:t>≥</w:t>
            </w:r>
            <w:r>
              <w:rPr>
                <w:rFonts w:hint="eastAsia" w:ascii="宋体" w:hAnsi="宋体" w:eastAsia="宋体" w:cs="宋体"/>
                <w:color w:val="auto"/>
                <w:kern w:val="0"/>
                <w:sz w:val="18"/>
                <w:szCs w:val="18"/>
                <w:highlight w:val="none"/>
                <w:lang w:val="en-US" w:eastAsia="zh-CN" w:bidi="ar"/>
              </w:rPr>
              <w:t>1.2mm，侧门</w:t>
            </w:r>
            <w:r>
              <w:rPr>
                <w:rFonts w:hint="eastAsia" w:ascii="宋体" w:hAnsi="宋体" w:eastAsia="宋体" w:cs="宋体"/>
                <w:b w:val="0"/>
                <w:bCs w:val="0"/>
                <w:color w:val="auto"/>
                <w:sz w:val="18"/>
                <w:szCs w:val="18"/>
                <w:highlight w:val="none"/>
                <w:lang w:val="en-US" w:eastAsia="zh-CN"/>
              </w:rPr>
              <w:t>≥</w:t>
            </w:r>
            <w:r>
              <w:rPr>
                <w:rFonts w:hint="eastAsia" w:ascii="宋体" w:hAnsi="宋体" w:eastAsia="宋体" w:cs="宋体"/>
                <w:color w:val="auto"/>
                <w:kern w:val="0"/>
                <w:sz w:val="18"/>
                <w:szCs w:val="18"/>
                <w:highlight w:val="none"/>
                <w:lang w:val="en-US" w:eastAsia="zh-CN" w:bidi="ar"/>
              </w:rPr>
              <w:t>1.0mm，其它</w:t>
            </w:r>
            <w:r>
              <w:rPr>
                <w:rFonts w:hint="eastAsia" w:ascii="宋体" w:hAnsi="宋体" w:eastAsia="宋体" w:cs="宋体"/>
                <w:b w:val="0"/>
                <w:bCs w:val="0"/>
                <w:color w:val="auto"/>
                <w:sz w:val="18"/>
                <w:szCs w:val="18"/>
                <w:highlight w:val="none"/>
                <w:lang w:val="en-US" w:eastAsia="zh-CN"/>
              </w:rPr>
              <w:t>≥</w:t>
            </w:r>
            <w:r>
              <w:rPr>
                <w:rFonts w:hint="eastAsia" w:ascii="宋体" w:hAnsi="宋体" w:eastAsia="宋体" w:cs="宋体"/>
                <w:color w:val="auto"/>
                <w:kern w:val="0"/>
                <w:sz w:val="18"/>
                <w:szCs w:val="18"/>
                <w:highlight w:val="none"/>
                <w:lang w:val="en-US" w:eastAsia="zh-CN" w:bidi="ar"/>
              </w:rPr>
              <w:t>1.2mm；高级旋把门锁。承重</w:t>
            </w:r>
            <w:r>
              <w:rPr>
                <w:rFonts w:hint="eastAsia" w:ascii="宋体" w:hAnsi="宋体" w:eastAsia="宋体" w:cs="宋体"/>
                <w:b w:val="0"/>
                <w:bCs w:val="0"/>
                <w:color w:val="auto"/>
                <w:sz w:val="18"/>
                <w:szCs w:val="18"/>
                <w:highlight w:val="none"/>
                <w:lang w:val="en-US" w:eastAsia="zh-CN"/>
              </w:rPr>
              <w:t>≥</w:t>
            </w:r>
            <w:r>
              <w:rPr>
                <w:rFonts w:hint="eastAsia" w:ascii="宋体" w:hAnsi="宋体" w:eastAsia="宋体" w:cs="宋体"/>
                <w:color w:val="auto"/>
                <w:kern w:val="0"/>
                <w:sz w:val="18"/>
                <w:szCs w:val="18"/>
                <w:highlight w:val="none"/>
                <w:lang w:val="en-US" w:eastAsia="zh-CN" w:bidi="ar"/>
              </w:rPr>
              <w:t>800kg.整体机架，前后网孔门，机柜顶部四个全静音风扇，保证内部良好通风及散热，封闭式电缆管理，电缆从顶部或底部进入；侧门可拆卸。在前后门安装6个缓冲垫，有明显的提示标签，机柜带有独立防静电接地系统系统，安装立柱可调整，可提供机柜并柜件。</w:t>
            </w:r>
          </w:p>
          <w:p w14:paraId="54BFF249">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2、配件：一个10A6位PDU电源，3个层板，4个风扇，40套M6卡扣安装螺丝，地脚螺钉4颗。</w:t>
            </w:r>
          </w:p>
          <w:p w14:paraId="7F108149">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0"/>
                <w:sz w:val="18"/>
                <w:szCs w:val="18"/>
                <w:highlight w:val="none"/>
                <w:lang w:val="en-US" w:eastAsia="zh-CN" w:bidi="ar"/>
              </w:rPr>
              <w:t>3、质量保障：制造商通过国际质量体系ISO9000、CE、ROHS等认证。</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06713F67">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01122A83">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个</w:t>
            </w:r>
          </w:p>
        </w:tc>
        <w:tc>
          <w:tcPr>
            <w:tcW w:w="1357" w:type="dxa"/>
            <w:tcBorders>
              <w:top w:val="single" w:color="000000" w:sz="4" w:space="0"/>
              <w:left w:val="single" w:color="000000" w:sz="4" w:space="0"/>
              <w:bottom w:val="single" w:color="000000" w:sz="4" w:space="0"/>
              <w:right w:val="single" w:color="auto" w:sz="4" w:space="0"/>
            </w:tcBorders>
            <w:noWrap/>
            <w:vAlign w:val="center"/>
          </w:tcPr>
          <w:p w14:paraId="210F0581">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rPr>
            </w:pPr>
          </w:p>
        </w:tc>
        <w:tc>
          <w:tcPr>
            <w:tcW w:w="1241" w:type="dxa"/>
            <w:tcBorders>
              <w:top w:val="single" w:color="000000" w:sz="4" w:space="0"/>
              <w:left w:val="single" w:color="auto" w:sz="4" w:space="0"/>
              <w:bottom w:val="single" w:color="000000" w:sz="4" w:space="0"/>
              <w:right w:val="single" w:color="auto" w:sz="4" w:space="0"/>
            </w:tcBorders>
            <w:noWrap/>
            <w:vAlign w:val="center"/>
          </w:tcPr>
          <w:p w14:paraId="33DDFAE6">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rPr>
            </w:pPr>
          </w:p>
        </w:tc>
        <w:tc>
          <w:tcPr>
            <w:tcW w:w="1763" w:type="dxa"/>
            <w:tcBorders>
              <w:top w:val="single" w:color="000000" w:sz="4" w:space="0"/>
              <w:left w:val="single" w:color="auto" w:sz="4" w:space="0"/>
              <w:bottom w:val="single" w:color="000000" w:sz="4" w:space="0"/>
              <w:right w:val="single" w:color="000000" w:sz="4" w:space="0"/>
            </w:tcBorders>
            <w:noWrap/>
            <w:vAlign w:val="center"/>
          </w:tcPr>
          <w:p w14:paraId="02FA81A3">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rPr>
            </w:pPr>
          </w:p>
        </w:tc>
      </w:tr>
      <w:tr w14:paraId="6264BCA2">
        <w:tblPrEx>
          <w:tblCellMar>
            <w:top w:w="0" w:type="dxa"/>
            <w:left w:w="108" w:type="dxa"/>
            <w:bottom w:w="0" w:type="dxa"/>
            <w:right w:w="108" w:type="dxa"/>
          </w:tblCellMar>
        </w:tblPrEx>
        <w:trPr>
          <w:trHeight w:val="549" w:hRule="atLeast"/>
          <w:jc w:val="center"/>
        </w:trPr>
        <w:tc>
          <w:tcPr>
            <w:tcW w:w="647" w:type="dxa"/>
            <w:tcBorders>
              <w:top w:val="single" w:color="000000" w:sz="4" w:space="0"/>
              <w:left w:val="single" w:color="000000" w:sz="4" w:space="0"/>
              <w:bottom w:val="single" w:color="000000" w:sz="4" w:space="0"/>
              <w:right w:val="single" w:color="000000" w:sz="4" w:space="0"/>
            </w:tcBorders>
            <w:noWrap/>
            <w:vAlign w:val="center"/>
          </w:tcPr>
          <w:p w14:paraId="76E31845">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6DD2C936">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交换机</w:t>
            </w:r>
          </w:p>
        </w:tc>
        <w:tc>
          <w:tcPr>
            <w:tcW w:w="6480" w:type="dxa"/>
            <w:tcBorders>
              <w:top w:val="single" w:color="000000" w:sz="4" w:space="0"/>
              <w:left w:val="single" w:color="000000" w:sz="4" w:space="0"/>
              <w:bottom w:val="single" w:color="000000" w:sz="4" w:space="0"/>
              <w:right w:val="single" w:color="000000" w:sz="4" w:space="0"/>
            </w:tcBorders>
            <w:noWrap w:val="0"/>
            <w:vAlign w:val="center"/>
          </w:tcPr>
          <w:p w14:paraId="73DEEA79">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1.交换容量</w:t>
            </w:r>
            <w:r>
              <w:rPr>
                <w:rFonts w:hint="eastAsia" w:ascii="宋体" w:hAnsi="宋体" w:eastAsia="宋体" w:cs="宋体"/>
                <w:b w:val="0"/>
                <w:bCs w:val="0"/>
                <w:color w:val="auto"/>
                <w:sz w:val="18"/>
                <w:szCs w:val="18"/>
                <w:highlight w:val="none"/>
                <w:lang w:val="en-US" w:eastAsia="zh-CN"/>
              </w:rPr>
              <w:t>≥</w:t>
            </w:r>
            <w:r>
              <w:rPr>
                <w:rFonts w:hint="eastAsia" w:ascii="宋体" w:hAnsi="宋体" w:eastAsia="宋体" w:cs="宋体"/>
                <w:color w:val="auto"/>
                <w:sz w:val="18"/>
                <w:szCs w:val="18"/>
                <w:highlight w:val="none"/>
                <w:lang w:val="en-US" w:eastAsia="zh-CN"/>
              </w:rPr>
              <w:t>396GT，包转发率≥570Mpps（若官网有A/B两值，以小值为准）；</w:t>
            </w:r>
          </w:p>
          <w:p w14:paraId="59650B98">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2.24口10/100/1000Mbps自适应电口交换机，固化4个SFP千兆光口；</w:t>
            </w:r>
          </w:p>
          <w:p w14:paraId="7168FCAB">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3.支持RIP，OSPF，BGP，RIPng，OSPFv3，BGP4+；</w:t>
            </w:r>
          </w:p>
          <w:p w14:paraId="16662DB5">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4.支持端口镜像功能，支持多对一端口镜像及一对多端口镜像，支持跨交换机的远程端口镜像功能RSPAN，支持聚合链路的镜像。</w:t>
            </w:r>
          </w:p>
          <w:p w14:paraId="2998AAA7">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5. 品牌要求 ：投标产品须为国际或国内主流网络设备品牌。</w:t>
            </w:r>
          </w:p>
          <w:p w14:paraId="5B603967">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 软件升级 ：供应商须承诺在质保期内免费提供最新的稳定版操作系统/固件。</w:t>
            </w:r>
          </w:p>
          <w:p w14:paraId="08E31915">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7. 质保服务 ：提供原厂3年及以上质保。</w:t>
            </w:r>
          </w:p>
          <w:p w14:paraId="56D9D07B">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8. 认证要求 ：投标产品需提供 3C认证证书。</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3466E234">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60C3D6FA">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台</w:t>
            </w:r>
          </w:p>
        </w:tc>
        <w:tc>
          <w:tcPr>
            <w:tcW w:w="1357" w:type="dxa"/>
            <w:tcBorders>
              <w:top w:val="single" w:color="000000" w:sz="4" w:space="0"/>
              <w:left w:val="single" w:color="000000" w:sz="4" w:space="0"/>
              <w:bottom w:val="single" w:color="000000" w:sz="4" w:space="0"/>
              <w:right w:val="single" w:color="auto" w:sz="4" w:space="0"/>
            </w:tcBorders>
            <w:noWrap/>
            <w:vAlign w:val="center"/>
          </w:tcPr>
          <w:p w14:paraId="0D129ACC">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rPr>
            </w:pPr>
          </w:p>
        </w:tc>
        <w:tc>
          <w:tcPr>
            <w:tcW w:w="1241" w:type="dxa"/>
            <w:tcBorders>
              <w:top w:val="single" w:color="000000" w:sz="4" w:space="0"/>
              <w:left w:val="single" w:color="auto" w:sz="4" w:space="0"/>
              <w:bottom w:val="single" w:color="000000" w:sz="4" w:space="0"/>
              <w:right w:val="single" w:color="auto" w:sz="4" w:space="0"/>
            </w:tcBorders>
            <w:noWrap/>
            <w:vAlign w:val="center"/>
          </w:tcPr>
          <w:p w14:paraId="4F2416B9">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rPr>
            </w:pPr>
          </w:p>
        </w:tc>
        <w:tc>
          <w:tcPr>
            <w:tcW w:w="1763" w:type="dxa"/>
            <w:tcBorders>
              <w:top w:val="single" w:color="000000" w:sz="4" w:space="0"/>
              <w:left w:val="single" w:color="auto" w:sz="4" w:space="0"/>
              <w:bottom w:val="single" w:color="000000" w:sz="4" w:space="0"/>
              <w:right w:val="single" w:color="000000" w:sz="4" w:space="0"/>
            </w:tcBorders>
            <w:noWrap/>
            <w:vAlign w:val="center"/>
          </w:tcPr>
          <w:p w14:paraId="345F1A59">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rPr>
            </w:pPr>
          </w:p>
        </w:tc>
      </w:tr>
      <w:tr w14:paraId="29FFEA18">
        <w:tblPrEx>
          <w:tblCellMar>
            <w:top w:w="0" w:type="dxa"/>
            <w:left w:w="108" w:type="dxa"/>
            <w:bottom w:w="0" w:type="dxa"/>
            <w:right w:w="108" w:type="dxa"/>
          </w:tblCellMar>
        </w:tblPrEx>
        <w:trPr>
          <w:trHeight w:val="499" w:hRule="atLeast"/>
          <w:jc w:val="center"/>
        </w:trPr>
        <w:tc>
          <w:tcPr>
            <w:tcW w:w="647" w:type="dxa"/>
            <w:tcBorders>
              <w:top w:val="single" w:color="000000" w:sz="4" w:space="0"/>
              <w:left w:val="single" w:color="000000" w:sz="4" w:space="0"/>
              <w:bottom w:val="single" w:color="000000" w:sz="4" w:space="0"/>
              <w:right w:val="single" w:color="000000" w:sz="4" w:space="0"/>
            </w:tcBorders>
            <w:noWrap/>
            <w:vAlign w:val="center"/>
          </w:tcPr>
          <w:p w14:paraId="2D70174B">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5</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2CDD16D4">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电脑桌</w:t>
            </w:r>
          </w:p>
        </w:tc>
        <w:tc>
          <w:tcPr>
            <w:tcW w:w="6480" w:type="dxa"/>
            <w:tcBorders>
              <w:top w:val="single" w:color="000000" w:sz="4" w:space="0"/>
              <w:left w:val="single" w:color="000000" w:sz="4" w:space="0"/>
              <w:bottom w:val="single" w:color="000000" w:sz="4" w:space="0"/>
              <w:right w:val="single" w:color="000000" w:sz="4" w:space="0"/>
            </w:tcBorders>
            <w:noWrap w:val="0"/>
            <w:vAlign w:val="center"/>
          </w:tcPr>
          <w:p w14:paraId="50EDFF37">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1.钢木组合结构，桌面采用≥25mm厚压缩多层实木板外贴防火板，带穿线孔。</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2.钢材部分采用≥1.2mm扁钢管，经数控弯管机握弯成型m冷轧钢板制作并布局散热孔。</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3.所有基材均耐酸碱、防虫、防腐等特出处理。</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4.封边严密、平整、与整块板材严丝合缝。</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5.规格≥1400*550*750</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316978EF">
            <w:pPr>
              <w:keepNext w:val="0"/>
              <w:keepLines w:val="0"/>
              <w:pageBreakBefore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bidi="ar"/>
              </w:rPr>
              <w:t>60</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28F87046">
            <w:pPr>
              <w:keepNext w:val="0"/>
              <w:keepLines w:val="0"/>
              <w:pageBreakBefore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bidi="ar"/>
              </w:rPr>
              <w:t>张</w:t>
            </w:r>
          </w:p>
        </w:tc>
        <w:tc>
          <w:tcPr>
            <w:tcW w:w="1357" w:type="dxa"/>
            <w:tcBorders>
              <w:top w:val="single" w:color="000000" w:sz="4" w:space="0"/>
              <w:left w:val="single" w:color="000000" w:sz="4" w:space="0"/>
              <w:bottom w:val="single" w:color="000000" w:sz="4" w:space="0"/>
              <w:right w:val="single" w:color="auto" w:sz="4" w:space="0"/>
            </w:tcBorders>
            <w:noWrap/>
            <w:vAlign w:val="center"/>
          </w:tcPr>
          <w:p w14:paraId="65F4F79A">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p>
        </w:tc>
        <w:tc>
          <w:tcPr>
            <w:tcW w:w="1241" w:type="dxa"/>
            <w:tcBorders>
              <w:top w:val="single" w:color="000000" w:sz="4" w:space="0"/>
              <w:left w:val="single" w:color="auto" w:sz="4" w:space="0"/>
              <w:bottom w:val="single" w:color="000000" w:sz="4" w:space="0"/>
              <w:right w:val="single" w:color="auto" w:sz="4" w:space="0"/>
            </w:tcBorders>
            <w:noWrap/>
            <w:vAlign w:val="center"/>
          </w:tcPr>
          <w:p w14:paraId="2AF9DFFE">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p>
        </w:tc>
        <w:tc>
          <w:tcPr>
            <w:tcW w:w="1763" w:type="dxa"/>
            <w:tcBorders>
              <w:top w:val="single" w:color="000000" w:sz="4" w:space="0"/>
              <w:left w:val="single" w:color="auto" w:sz="4" w:space="0"/>
              <w:bottom w:val="single" w:color="000000" w:sz="4" w:space="0"/>
              <w:right w:val="single" w:color="000000" w:sz="4" w:space="0"/>
            </w:tcBorders>
            <w:noWrap/>
            <w:vAlign w:val="center"/>
          </w:tcPr>
          <w:p w14:paraId="61594E09">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highlight w:val="none"/>
              </w:rPr>
              <w:drawing>
                <wp:anchor distT="0" distB="0" distL="114300" distR="114300" simplePos="0" relativeHeight="251676672" behindDoc="0" locked="0" layoutInCell="1" allowOverlap="1">
                  <wp:simplePos x="0" y="0"/>
                  <wp:positionH relativeFrom="column">
                    <wp:posOffset>-128905</wp:posOffset>
                  </wp:positionH>
                  <wp:positionV relativeFrom="paragraph">
                    <wp:posOffset>128905</wp:posOffset>
                  </wp:positionV>
                  <wp:extent cx="1179830" cy="1139825"/>
                  <wp:effectExtent l="0" t="0" r="1270" b="3175"/>
                  <wp:wrapSquare wrapText="bothSides"/>
                  <wp:docPr id="1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6"/>
                          <pic:cNvPicPr>
                            <a:picLocks noChangeAspect="1"/>
                          </pic:cNvPicPr>
                        </pic:nvPicPr>
                        <pic:blipFill>
                          <a:blip r:embed="rId41"/>
                          <a:stretch>
                            <a:fillRect/>
                          </a:stretch>
                        </pic:blipFill>
                        <pic:spPr>
                          <a:xfrm>
                            <a:off x="0" y="0"/>
                            <a:ext cx="1179830" cy="1139825"/>
                          </a:xfrm>
                          <a:prstGeom prst="rect">
                            <a:avLst/>
                          </a:prstGeom>
                          <a:noFill/>
                          <a:ln>
                            <a:noFill/>
                          </a:ln>
                        </pic:spPr>
                      </pic:pic>
                    </a:graphicData>
                  </a:graphic>
                </wp:anchor>
              </w:drawing>
            </w:r>
          </w:p>
        </w:tc>
      </w:tr>
      <w:tr w14:paraId="5FF753B7">
        <w:tblPrEx>
          <w:tblCellMar>
            <w:top w:w="0" w:type="dxa"/>
            <w:left w:w="108" w:type="dxa"/>
            <w:bottom w:w="0" w:type="dxa"/>
            <w:right w:w="108" w:type="dxa"/>
          </w:tblCellMar>
        </w:tblPrEx>
        <w:trPr>
          <w:trHeight w:val="499" w:hRule="atLeast"/>
          <w:jc w:val="center"/>
        </w:trPr>
        <w:tc>
          <w:tcPr>
            <w:tcW w:w="647" w:type="dxa"/>
            <w:tcBorders>
              <w:top w:val="single" w:color="000000" w:sz="4" w:space="0"/>
              <w:left w:val="single" w:color="000000" w:sz="4" w:space="0"/>
              <w:bottom w:val="single" w:color="000000" w:sz="4" w:space="0"/>
              <w:right w:val="single" w:color="000000" w:sz="4" w:space="0"/>
            </w:tcBorders>
            <w:noWrap/>
            <w:vAlign w:val="center"/>
          </w:tcPr>
          <w:p w14:paraId="10EC0822">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707770B2">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电脑椅</w:t>
            </w:r>
          </w:p>
        </w:tc>
        <w:tc>
          <w:tcPr>
            <w:tcW w:w="6480" w:type="dxa"/>
            <w:tcBorders>
              <w:top w:val="single" w:color="000000" w:sz="4" w:space="0"/>
              <w:left w:val="single" w:color="000000" w:sz="4" w:space="0"/>
              <w:bottom w:val="single" w:color="000000" w:sz="4" w:space="0"/>
              <w:right w:val="single" w:color="000000" w:sz="4" w:space="0"/>
            </w:tcBorders>
            <w:noWrap w:val="0"/>
            <w:vAlign w:val="center"/>
          </w:tcPr>
          <w:p w14:paraId="299D0156">
            <w:pPr>
              <w:keepNext w:val="0"/>
              <w:keepLines w:val="0"/>
              <w:pageBreakBefore w:val="0"/>
              <w:widowControl w:val="0"/>
              <w:numPr>
                <w:ilvl w:val="0"/>
                <w:numId w:val="15"/>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钢木组合结构，桌面采用≥25mm厚压缩多层实木板外贴防火板，带穿线孔。</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2.钢材部分采用≥1.2mm扁钢管，经数控弯管机握弯成型m冷轧钢板制作并布局散热孔。</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3.所有基材均耐酸碱、防虫、防腐等特出处理。</w:t>
            </w:r>
          </w:p>
          <w:p w14:paraId="0537C8E3">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4.封边严密、平整、与整块板材严丝合缝。</w:t>
            </w:r>
          </w:p>
          <w:p w14:paraId="2EDCD2CA">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5.规格≥340*240*450</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2F99FFD5">
            <w:pPr>
              <w:keepNext w:val="0"/>
              <w:keepLines w:val="0"/>
              <w:pageBreakBefore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bidi="ar"/>
              </w:rPr>
              <w:t>12</w:t>
            </w:r>
            <w:r>
              <w:rPr>
                <w:rFonts w:hint="eastAsia" w:ascii="宋体" w:hAnsi="宋体" w:eastAsia="宋体" w:cs="宋体"/>
                <w:color w:val="auto"/>
                <w:sz w:val="18"/>
                <w:szCs w:val="18"/>
                <w:highlight w:val="none"/>
                <w:lang w:bidi="ar"/>
              </w:rPr>
              <w:t>0</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05152B2C">
            <w:pPr>
              <w:keepNext w:val="0"/>
              <w:keepLines w:val="0"/>
              <w:pageBreakBefore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bidi="ar"/>
              </w:rPr>
              <w:t>张</w:t>
            </w:r>
          </w:p>
        </w:tc>
        <w:tc>
          <w:tcPr>
            <w:tcW w:w="1357" w:type="dxa"/>
            <w:tcBorders>
              <w:top w:val="single" w:color="000000" w:sz="4" w:space="0"/>
              <w:left w:val="single" w:color="000000" w:sz="4" w:space="0"/>
              <w:bottom w:val="single" w:color="000000" w:sz="4" w:space="0"/>
              <w:right w:val="single" w:color="auto" w:sz="4" w:space="0"/>
            </w:tcBorders>
            <w:noWrap/>
            <w:vAlign w:val="center"/>
          </w:tcPr>
          <w:p w14:paraId="69542363">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rPr>
            </w:pPr>
          </w:p>
        </w:tc>
        <w:tc>
          <w:tcPr>
            <w:tcW w:w="1241" w:type="dxa"/>
            <w:tcBorders>
              <w:top w:val="single" w:color="000000" w:sz="4" w:space="0"/>
              <w:left w:val="single" w:color="auto" w:sz="4" w:space="0"/>
              <w:bottom w:val="single" w:color="000000" w:sz="4" w:space="0"/>
              <w:right w:val="single" w:color="auto" w:sz="4" w:space="0"/>
            </w:tcBorders>
            <w:noWrap/>
            <w:vAlign w:val="center"/>
          </w:tcPr>
          <w:p w14:paraId="5D32AA10">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rPr>
            </w:pPr>
          </w:p>
        </w:tc>
        <w:tc>
          <w:tcPr>
            <w:tcW w:w="1763" w:type="dxa"/>
            <w:tcBorders>
              <w:top w:val="single" w:color="000000" w:sz="4" w:space="0"/>
              <w:left w:val="single" w:color="auto" w:sz="4" w:space="0"/>
              <w:bottom w:val="single" w:color="000000" w:sz="4" w:space="0"/>
              <w:right w:val="single" w:color="000000" w:sz="4" w:space="0"/>
            </w:tcBorders>
            <w:noWrap/>
            <w:vAlign w:val="center"/>
          </w:tcPr>
          <w:p w14:paraId="0CF27F78">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rPr>
            </w:pPr>
          </w:p>
        </w:tc>
      </w:tr>
      <w:tr w14:paraId="7A444AA6">
        <w:tblPrEx>
          <w:tblCellMar>
            <w:top w:w="0" w:type="dxa"/>
            <w:left w:w="108" w:type="dxa"/>
            <w:bottom w:w="0" w:type="dxa"/>
            <w:right w:w="108" w:type="dxa"/>
          </w:tblCellMar>
        </w:tblPrEx>
        <w:trPr>
          <w:trHeight w:val="499" w:hRule="atLeast"/>
          <w:jc w:val="center"/>
        </w:trPr>
        <w:tc>
          <w:tcPr>
            <w:tcW w:w="647" w:type="dxa"/>
            <w:tcBorders>
              <w:top w:val="single" w:color="000000" w:sz="4" w:space="0"/>
              <w:left w:val="single" w:color="000000" w:sz="4" w:space="0"/>
              <w:bottom w:val="single" w:color="000000" w:sz="4" w:space="0"/>
              <w:right w:val="single" w:color="000000" w:sz="4" w:space="0"/>
            </w:tcBorders>
            <w:noWrap/>
            <w:vAlign w:val="center"/>
          </w:tcPr>
          <w:p w14:paraId="1577B305">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7</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45C05200">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静电地板</w:t>
            </w:r>
          </w:p>
        </w:tc>
        <w:tc>
          <w:tcPr>
            <w:tcW w:w="6480" w:type="dxa"/>
            <w:tcBorders>
              <w:top w:val="single" w:color="000000" w:sz="4" w:space="0"/>
              <w:left w:val="single" w:color="000000" w:sz="4" w:space="0"/>
              <w:bottom w:val="single" w:color="000000" w:sz="4" w:space="0"/>
              <w:right w:val="single" w:color="000000" w:sz="4" w:space="0"/>
            </w:tcBorders>
            <w:noWrap w:val="0"/>
            <w:vAlign w:val="center"/>
          </w:tcPr>
          <w:p w14:paraId="0464279A">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1.陶瓷小兰花 600*600*45</w:t>
            </w:r>
            <w:r>
              <w:rPr>
                <w:rFonts w:hint="eastAsia" w:ascii="宋体" w:hAnsi="宋体" w:eastAsia="宋体" w:cs="宋体"/>
                <w:color w:val="auto"/>
                <w:sz w:val="18"/>
                <w:szCs w:val="18"/>
                <w:highlight w:val="none"/>
              </w:rPr>
              <w:br w:type="textWrapping"/>
            </w:r>
            <w:r>
              <w:rPr>
                <w:rFonts w:hint="eastAsia" w:ascii="宋体" w:hAnsi="宋体" w:eastAsia="宋体" w:cs="宋体"/>
                <w:color w:val="auto"/>
                <w:sz w:val="18"/>
                <w:szCs w:val="18"/>
                <w:highlight w:val="none"/>
              </w:rPr>
              <w:t>2.集中载荷=2950N时挠度：1.21mm、永久变形：0.2mm</w:t>
            </w:r>
            <w:r>
              <w:rPr>
                <w:rFonts w:hint="eastAsia" w:ascii="宋体" w:hAnsi="宋体" w:eastAsia="宋体" w:cs="宋体"/>
                <w:color w:val="auto"/>
                <w:sz w:val="18"/>
                <w:szCs w:val="18"/>
                <w:highlight w:val="none"/>
              </w:rPr>
              <w:br w:type="textWrapping"/>
            </w:r>
            <w:r>
              <w:rPr>
                <w:rFonts w:hint="eastAsia" w:ascii="宋体" w:hAnsi="宋体" w:eastAsia="宋体" w:cs="宋体"/>
                <w:color w:val="auto"/>
                <w:sz w:val="18"/>
                <w:szCs w:val="18"/>
                <w:highlight w:val="none"/>
              </w:rPr>
              <w:t>3.均布载荷=12500N/㎡ 挠度：0.88mm</w:t>
            </w:r>
            <w:r>
              <w:rPr>
                <w:rFonts w:hint="eastAsia" w:ascii="宋体" w:hAnsi="宋体" w:eastAsia="宋体" w:cs="宋体"/>
                <w:color w:val="auto"/>
                <w:sz w:val="18"/>
                <w:szCs w:val="18"/>
                <w:highlight w:val="none"/>
              </w:rPr>
              <w:br w:type="textWrapping"/>
            </w:r>
            <w:r>
              <w:rPr>
                <w:rFonts w:hint="eastAsia" w:ascii="宋体" w:hAnsi="宋体" w:eastAsia="宋体" w:cs="宋体"/>
                <w:color w:val="auto"/>
                <w:sz w:val="18"/>
                <w:szCs w:val="18"/>
                <w:highlight w:val="none"/>
              </w:rPr>
              <w:t>4.极限集中载荷</w:t>
            </w:r>
            <w:r>
              <w:rPr>
                <w:rFonts w:hint="eastAsia" w:ascii="宋体" w:hAnsi="宋体" w:eastAsia="宋体" w:cs="宋体"/>
                <w:color w:val="auto"/>
                <w:sz w:val="18"/>
                <w:szCs w:val="18"/>
                <w:highlight w:val="none"/>
                <w:lang w:val="en-US" w:eastAsia="zh-CN"/>
              </w:rPr>
              <w:t>≥</w:t>
            </w:r>
            <w:r>
              <w:rPr>
                <w:rFonts w:hint="eastAsia" w:ascii="宋体" w:hAnsi="宋体" w:eastAsia="宋体" w:cs="宋体"/>
                <w:color w:val="auto"/>
                <w:sz w:val="18"/>
                <w:szCs w:val="18"/>
                <w:highlight w:val="none"/>
              </w:rPr>
              <w:t>13580N</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16B9A07A">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170</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43827607">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w:t>
            </w:r>
          </w:p>
        </w:tc>
        <w:tc>
          <w:tcPr>
            <w:tcW w:w="1357" w:type="dxa"/>
            <w:tcBorders>
              <w:top w:val="single" w:color="000000" w:sz="4" w:space="0"/>
              <w:left w:val="single" w:color="000000" w:sz="4" w:space="0"/>
              <w:bottom w:val="single" w:color="000000" w:sz="4" w:space="0"/>
              <w:right w:val="single" w:color="auto" w:sz="4" w:space="0"/>
            </w:tcBorders>
            <w:noWrap/>
            <w:vAlign w:val="center"/>
          </w:tcPr>
          <w:p w14:paraId="4CDBCBA9">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p>
        </w:tc>
        <w:tc>
          <w:tcPr>
            <w:tcW w:w="1241" w:type="dxa"/>
            <w:tcBorders>
              <w:top w:val="single" w:color="000000" w:sz="4" w:space="0"/>
              <w:left w:val="single" w:color="auto" w:sz="4" w:space="0"/>
              <w:bottom w:val="single" w:color="000000" w:sz="4" w:space="0"/>
              <w:right w:val="single" w:color="auto" w:sz="4" w:space="0"/>
            </w:tcBorders>
            <w:noWrap/>
            <w:vAlign w:val="center"/>
          </w:tcPr>
          <w:p w14:paraId="137BB861">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p>
        </w:tc>
        <w:tc>
          <w:tcPr>
            <w:tcW w:w="1763" w:type="dxa"/>
            <w:tcBorders>
              <w:top w:val="single" w:color="000000" w:sz="4" w:space="0"/>
              <w:left w:val="single" w:color="auto" w:sz="4" w:space="0"/>
              <w:bottom w:val="single" w:color="000000" w:sz="4" w:space="0"/>
              <w:right w:val="single" w:color="000000" w:sz="4" w:space="0"/>
            </w:tcBorders>
            <w:noWrap/>
            <w:vAlign w:val="center"/>
          </w:tcPr>
          <w:p w14:paraId="163CB3B9">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p>
        </w:tc>
      </w:tr>
      <w:tr w14:paraId="5185D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4542" w:type="dxa"/>
            <w:gridSpan w:val="8"/>
            <w:noWrap w:val="0"/>
            <w:vAlign w:val="center"/>
          </w:tcPr>
          <w:p w14:paraId="43AA81B6">
            <w:pPr>
              <w:widowControl/>
              <w:spacing w:line="240" w:lineRule="auto"/>
              <w:ind w:firstLine="0" w:firstLineChars="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b/>
                <w:bCs/>
                <w:color w:val="auto"/>
                <w:kern w:val="0"/>
                <w:sz w:val="21"/>
                <w:szCs w:val="21"/>
                <w:highlight w:val="none"/>
                <w:lang w:val="en-US" w:eastAsia="zh-CN" w:bidi="ar"/>
              </w:rPr>
              <w:t>三、智能工程学院机房实训室建设</w:t>
            </w:r>
          </w:p>
        </w:tc>
      </w:tr>
      <w:tr w14:paraId="29DDC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47" w:type="dxa"/>
            <w:noWrap w:val="0"/>
            <w:vAlign w:val="center"/>
          </w:tcPr>
          <w:p w14:paraId="6AFF80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549" w:type="dxa"/>
            <w:noWrap w:val="0"/>
            <w:vAlign w:val="center"/>
          </w:tcPr>
          <w:p w14:paraId="06795A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名称</w:t>
            </w:r>
          </w:p>
        </w:tc>
        <w:tc>
          <w:tcPr>
            <w:tcW w:w="6480" w:type="dxa"/>
            <w:noWrap w:val="0"/>
            <w:vAlign w:val="center"/>
          </w:tcPr>
          <w:p w14:paraId="0E4873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技术参数</w:t>
            </w:r>
          </w:p>
        </w:tc>
        <w:tc>
          <w:tcPr>
            <w:tcW w:w="731" w:type="dxa"/>
            <w:noWrap w:val="0"/>
            <w:vAlign w:val="center"/>
          </w:tcPr>
          <w:p w14:paraId="614649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774" w:type="dxa"/>
            <w:noWrap w:val="0"/>
            <w:vAlign w:val="center"/>
          </w:tcPr>
          <w:p w14:paraId="0380E7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1357" w:type="dxa"/>
            <w:noWrap w:val="0"/>
            <w:vAlign w:val="center"/>
          </w:tcPr>
          <w:p w14:paraId="1FCDBA92">
            <w:pPr>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color w:val="auto"/>
                <w:sz w:val="21"/>
                <w:szCs w:val="21"/>
                <w:highlight w:val="none"/>
                <w:lang w:val="en-US" w:eastAsia="zh-CN"/>
              </w:rPr>
              <w:t>单价（元）</w:t>
            </w:r>
          </w:p>
        </w:tc>
        <w:tc>
          <w:tcPr>
            <w:tcW w:w="1241" w:type="dxa"/>
            <w:noWrap w:val="0"/>
            <w:vAlign w:val="center"/>
          </w:tcPr>
          <w:p w14:paraId="527B7C7A">
            <w:pPr>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color w:val="auto"/>
                <w:sz w:val="21"/>
                <w:szCs w:val="21"/>
                <w:highlight w:val="none"/>
                <w:lang w:val="en-US" w:eastAsia="zh-CN" w:bidi="ar"/>
              </w:rPr>
              <w:t>合计（元）</w:t>
            </w:r>
          </w:p>
        </w:tc>
        <w:tc>
          <w:tcPr>
            <w:tcW w:w="1763" w:type="dxa"/>
            <w:noWrap w:val="0"/>
            <w:vAlign w:val="center"/>
          </w:tcPr>
          <w:p w14:paraId="53F644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备注</w:t>
            </w:r>
          </w:p>
        </w:tc>
      </w:tr>
      <w:tr w14:paraId="2FAD9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47" w:type="dxa"/>
            <w:noWrap w:val="0"/>
            <w:vAlign w:val="center"/>
          </w:tcPr>
          <w:p w14:paraId="0720E1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549" w:type="dxa"/>
            <w:noWrap w:val="0"/>
            <w:vAlign w:val="center"/>
          </w:tcPr>
          <w:p w14:paraId="664379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交换机</w:t>
            </w:r>
          </w:p>
        </w:tc>
        <w:tc>
          <w:tcPr>
            <w:tcW w:w="6480" w:type="dxa"/>
            <w:noWrap w:val="0"/>
            <w:vAlign w:val="center"/>
          </w:tcPr>
          <w:p w14:paraId="3AAFB1B9">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1.交换容量≥396GT，包转发率≥570Mpps（若官网有A/B两值，以小值为准）；</w:t>
            </w:r>
          </w:p>
          <w:p w14:paraId="09DCCC69">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2.24口10/100/1000Mbps自适应电口交换机，固化4个SFP千兆光口；</w:t>
            </w:r>
          </w:p>
          <w:p w14:paraId="09751289">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3.支持RIP，OSPF，BGP，RIPng，OSPFv3，BGP4+；</w:t>
            </w:r>
          </w:p>
          <w:p w14:paraId="10DE8CB5">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4.支持端口镜像功能，支持多对一端口镜像及一对多端口镜像，支持跨交换机的远程端口镜像功能RSPAN，支持聚合链路的镜像。</w:t>
            </w:r>
          </w:p>
          <w:p w14:paraId="5B8B5A4D">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5. 品牌要求 ：投标产品须为国际或国内主流网络设备品牌。</w:t>
            </w:r>
          </w:p>
          <w:p w14:paraId="1BB5F751">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 软件升级 ：供应商须承诺在质保期内免费提供最新的稳定版操作系统/固件。</w:t>
            </w:r>
          </w:p>
          <w:p w14:paraId="6E0D8831">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7. 质保服务 ：提供原厂3年及以上质保。</w:t>
            </w:r>
          </w:p>
          <w:p w14:paraId="449CAFBC">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8. 认证要求 ：投标产品需提供 3C认证证书。</w:t>
            </w:r>
          </w:p>
        </w:tc>
        <w:tc>
          <w:tcPr>
            <w:tcW w:w="731" w:type="dxa"/>
            <w:noWrap w:val="0"/>
            <w:vAlign w:val="center"/>
          </w:tcPr>
          <w:p w14:paraId="317C71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774" w:type="dxa"/>
            <w:noWrap w:val="0"/>
            <w:vAlign w:val="center"/>
          </w:tcPr>
          <w:p w14:paraId="17B8D0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c>
          <w:tcPr>
            <w:tcW w:w="1357" w:type="dxa"/>
            <w:noWrap w:val="0"/>
            <w:vAlign w:val="center"/>
          </w:tcPr>
          <w:p w14:paraId="3619E72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241" w:type="dxa"/>
            <w:noWrap w:val="0"/>
            <w:vAlign w:val="center"/>
          </w:tcPr>
          <w:p w14:paraId="3977745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763" w:type="dxa"/>
            <w:noWrap w:val="0"/>
            <w:vAlign w:val="center"/>
          </w:tcPr>
          <w:p w14:paraId="547C28D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9BF6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47" w:type="dxa"/>
            <w:vMerge w:val="restart"/>
            <w:noWrap w:val="0"/>
            <w:vAlign w:val="center"/>
          </w:tcPr>
          <w:p w14:paraId="14F919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549" w:type="dxa"/>
            <w:vMerge w:val="restart"/>
            <w:noWrap w:val="0"/>
            <w:vAlign w:val="center"/>
          </w:tcPr>
          <w:p w14:paraId="66C5D3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电脑</w:t>
            </w:r>
          </w:p>
        </w:tc>
        <w:tc>
          <w:tcPr>
            <w:tcW w:w="6480" w:type="dxa"/>
            <w:noWrap w:val="0"/>
            <w:vAlign w:val="center"/>
          </w:tcPr>
          <w:p w14:paraId="69E8492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1.主板：Intel 芯片组，≥B760M-G 企业级主板（主板、电源等关键部件有原厂商统一品牌标志）；</w:t>
            </w:r>
          </w:p>
        </w:tc>
        <w:tc>
          <w:tcPr>
            <w:tcW w:w="731" w:type="dxa"/>
            <w:vMerge w:val="restart"/>
            <w:noWrap w:val="0"/>
            <w:vAlign w:val="center"/>
          </w:tcPr>
          <w:p w14:paraId="4A94DE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60</w:t>
            </w:r>
          </w:p>
        </w:tc>
        <w:tc>
          <w:tcPr>
            <w:tcW w:w="774" w:type="dxa"/>
            <w:vMerge w:val="restart"/>
            <w:noWrap w:val="0"/>
            <w:vAlign w:val="center"/>
          </w:tcPr>
          <w:p w14:paraId="44494E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台</w:t>
            </w:r>
          </w:p>
        </w:tc>
        <w:tc>
          <w:tcPr>
            <w:tcW w:w="1357" w:type="dxa"/>
            <w:noWrap w:val="0"/>
            <w:vAlign w:val="center"/>
          </w:tcPr>
          <w:p w14:paraId="223F5C0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241" w:type="dxa"/>
            <w:vMerge w:val="restart"/>
            <w:noWrap w:val="0"/>
            <w:vAlign w:val="center"/>
          </w:tcPr>
          <w:p w14:paraId="1407744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763" w:type="dxa"/>
            <w:vMerge w:val="restart"/>
            <w:noWrap w:val="0"/>
            <w:vAlign w:val="center"/>
          </w:tcPr>
          <w:p w14:paraId="096A15F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EFAD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47" w:type="dxa"/>
            <w:vMerge w:val="continue"/>
            <w:noWrap w:val="0"/>
            <w:vAlign w:val="center"/>
          </w:tcPr>
          <w:p w14:paraId="5A3429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549" w:type="dxa"/>
            <w:vMerge w:val="continue"/>
            <w:noWrap w:val="0"/>
            <w:vAlign w:val="center"/>
          </w:tcPr>
          <w:p w14:paraId="59FB64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480" w:type="dxa"/>
            <w:noWrap w:val="0"/>
            <w:vAlign w:val="center"/>
          </w:tcPr>
          <w:p w14:paraId="3EEE7BC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2.CPU:最新第十四代Intel 酷睿I5-14400F处理器以上CPU，六核十二线程，主频≥2.5GHz，睿频≥4.4GHz；</w:t>
            </w:r>
          </w:p>
        </w:tc>
        <w:tc>
          <w:tcPr>
            <w:tcW w:w="731" w:type="dxa"/>
            <w:vMerge w:val="continue"/>
            <w:noWrap w:val="0"/>
            <w:vAlign w:val="center"/>
          </w:tcPr>
          <w:p w14:paraId="3F64C3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774" w:type="dxa"/>
            <w:vMerge w:val="continue"/>
            <w:noWrap w:val="0"/>
            <w:vAlign w:val="center"/>
          </w:tcPr>
          <w:p w14:paraId="620188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357" w:type="dxa"/>
            <w:noWrap w:val="0"/>
            <w:vAlign w:val="center"/>
          </w:tcPr>
          <w:p w14:paraId="756F745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241" w:type="dxa"/>
            <w:vMerge w:val="continue"/>
            <w:noWrap w:val="0"/>
            <w:vAlign w:val="center"/>
          </w:tcPr>
          <w:p w14:paraId="69FC8BE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763" w:type="dxa"/>
            <w:vMerge w:val="continue"/>
            <w:noWrap w:val="0"/>
            <w:vAlign w:val="center"/>
          </w:tcPr>
          <w:p w14:paraId="56E83FB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DFF7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47" w:type="dxa"/>
            <w:vMerge w:val="continue"/>
            <w:noWrap w:val="0"/>
            <w:vAlign w:val="center"/>
          </w:tcPr>
          <w:p w14:paraId="251164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549" w:type="dxa"/>
            <w:vMerge w:val="continue"/>
            <w:noWrap w:val="0"/>
            <w:vAlign w:val="center"/>
          </w:tcPr>
          <w:p w14:paraId="606E5B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480" w:type="dxa"/>
            <w:noWrap w:val="0"/>
            <w:vAlign w:val="center"/>
          </w:tcPr>
          <w:p w14:paraId="4414542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4.内存: ≥16G DDR5 6000 ，四卡槽；</w:t>
            </w:r>
          </w:p>
        </w:tc>
        <w:tc>
          <w:tcPr>
            <w:tcW w:w="731" w:type="dxa"/>
            <w:vMerge w:val="continue"/>
            <w:noWrap w:val="0"/>
            <w:vAlign w:val="center"/>
          </w:tcPr>
          <w:p w14:paraId="0DB228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774" w:type="dxa"/>
            <w:vMerge w:val="continue"/>
            <w:noWrap w:val="0"/>
            <w:vAlign w:val="center"/>
          </w:tcPr>
          <w:p w14:paraId="16B971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357" w:type="dxa"/>
            <w:noWrap w:val="0"/>
            <w:vAlign w:val="center"/>
          </w:tcPr>
          <w:p w14:paraId="122341C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241" w:type="dxa"/>
            <w:vMerge w:val="continue"/>
            <w:noWrap w:val="0"/>
            <w:vAlign w:val="center"/>
          </w:tcPr>
          <w:p w14:paraId="7DC477F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763" w:type="dxa"/>
            <w:vMerge w:val="continue"/>
            <w:noWrap w:val="0"/>
            <w:vAlign w:val="center"/>
          </w:tcPr>
          <w:p w14:paraId="737C5C6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389D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647" w:type="dxa"/>
            <w:vMerge w:val="continue"/>
            <w:noWrap w:val="0"/>
            <w:vAlign w:val="center"/>
          </w:tcPr>
          <w:p w14:paraId="4EB5E6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549" w:type="dxa"/>
            <w:vMerge w:val="continue"/>
            <w:noWrap w:val="0"/>
            <w:vAlign w:val="center"/>
          </w:tcPr>
          <w:p w14:paraId="1C0514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480" w:type="dxa"/>
            <w:noWrap w:val="0"/>
            <w:vAlign w:val="center"/>
          </w:tcPr>
          <w:p w14:paraId="16FB192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5.硬盘：≥512G M2 固态硬盘  支持HDD+SSD双硬盘；</w:t>
            </w:r>
          </w:p>
        </w:tc>
        <w:tc>
          <w:tcPr>
            <w:tcW w:w="731" w:type="dxa"/>
            <w:vMerge w:val="continue"/>
            <w:noWrap w:val="0"/>
            <w:vAlign w:val="center"/>
          </w:tcPr>
          <w:p w14:paraId="2579ED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774" w:type="dxa"/>
            <w:vMerge w:val="continue"/>
            <w:noWrap w:val="0"/>
            <w:vAlign w:val="center"/>
          </w:tcPr>
          <w:p w14:paraId="5FC731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357" w:type="dxa"/>
            <w:noWrap w:val="0"/>
            <w:vAlign w:val="center"/>
          </w:tcPr>
          <w:p w14:paraId="6117986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241" w:type="dxa"/>
            <w:vMerge w:val="continue"/>
            <w:noWrap w:val="0"/>
            <w:vAlign w:val="center"/>
          </w:tcPr>
          <w:p w14:paraId="1BB7D00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763" w:type="dxa"/>
            <w:vMerge w:val="continue"/>
            <w:noWrap w:val="0"/>
            <w:vAlign w:val="center"/>
          </w:tcPr>
          <w:p w14:paraId="188FC17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2514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47" w:type="dxa"/>
            <w:vMerge w:val="continue"/>
            <w:noWrap w:val="0"/>
            <w:vAlign w:val="center"/>
          </w:tcPr>
          <w:p w14:paraId="4C75D6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549" w:type="dxa"/>
            <w:vMerge w:val="continue"/>
            <w:noWrap w:val="0"/>
            <w:vAlign w:val="center"/>
          </w:tcPr>
          <w:p w14:paraId="0EEA38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480" w:type="dxa"/>
            <w:noWrap w:val="0"/>
            <w:vAlign w:val="center"/>
          </w:tcPr>
          <w:p w14:paraId="3D3852A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6.网卡:千兆以太网卡；</w:t>
            </w:r>
          </w:p>
        </w:tc>
        <w:tc>
          <w:tcPr>
            <w:tcW w:w="731" w:type="dxa"/>
            <w:vMerge w:val="continue"/>
            <w:noWrap w:val="0"/>
            <w:vAlign w:val="center"/>
          </w:tcPr>
          <w:p w14:paraId="3672E5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774" w:type="dxa"/>
            <w:vMerge w:val="continue"/>
            <w:noWrap w:val="0"/>
            <w:vAlign w:val="center"/>
          </w:tcPr>
          <w:p w14:paraId="715415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357" w:type="dxa"/>
            <w:noWrap w:val="0"/>
            <w:vAlign w:val="center"/>
          </w:tcPr>
          <w:p w14:paraId="365BF25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241" w:type="dxa"/>
            <w:vMerge w:val="continue"/>
            <w:noWrap w:val="0"/>
            <w:vAlign w:val="center"/>
          </w:tcPr>
          <w:p w14:paraId="5DC089C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763" w:type="dxa"/>
            <w:vMerge w:val="continue"/>
            <w:noWrap w:val="0"/>
            <w:vAlign w:val="center"/>
          </w:tcPr>
          <w:p w14:paraId="46D36AF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21FF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47" w:type="dxa"/>
            <w:vMerge w:val="continue"/>
            <w:noWrap w:val="0"/>
            <w:vAlign w:val="center"/>
          </w:tcPr>
          <w:p w14:paraId="09E913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549" w:type="dxa"/>
            <w:vMerge w:val="continue"/>
            <w:noWrap w:val="0"/>
            <w:vAlign w:val="center"/>
          </w:tcPr>
          <w:p w14:paraId="600FC0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480" w:type="dxa"/>
            <w:noWrap w:val="0"/>
            <w:vAlign w:val="center"/>
          </w:tcPr>
          <w:p w14:paraId="0ED91CC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7.显卡：≥RTX5060  8G；</w:t>
            </w:r>
          </w:p>
        </w:tc>
        <w:tc>
          <w:tcPr>
            <w:tcW w:w="731" w:type="dxa"/>
            <w:vMerge w:val="continue"/>
            <w:noWrap w:val="0"/>
            <w:vAlign w:val="center"/>
          </w:tcPr>
          <w:p w14:paraId="5A7BC4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774" w:type="dxa"/>
            <w:vMerge w:val="continue"/>
            <w:noWrap w:val="0"/>
            <w:vAlign w:val="center"/>
          </w:tcPr>
          <w:p w14:paraId="28B46B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357" w:type="dxa"/>
            <w:noWrap w:val="0"/>
            <w:vAlign w:val="center"/>
          </w:tcPr>
          <w:p w14:paraId="5576927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241" w:type="dxa"/>
            <w:vMerge w:val="continue"/>
            <w:noWrap w:val="0"/>
            <w:vAlign w:val="center"/>
          </w:tcPr>
          <w:p w14:paraId="7D95FC5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763" w:type="dxa"/>
            <w:vMerge w:val="continue"/>
            <w:noWrap w:val="0"/>
            <w:vAlign w:val="center"/>
          </w:tcPr>
          <w:p w14:paraId="0D30A38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9081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47" w:type="dxa"/>
            <w:vMerge w:val="continue"/>
            <w:noWrap w:val="0"/>
            <w:vAlign w:val="center"/>
          </w:tcPr>
          <w:p w14:paraId="46BFB9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549" w:type="dxa"/>
            <w:vMerge w:val="continue"/>
            <w:noWrap w:val="0"/>
            <w:vAlign w:val="center"/>
          </w:tcPr>
          <w:p w14:paraId="44EFBF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480" w:type="dxa"/>
            <w:noWrap w:val="0"/>
            <w:vAlign w:val="center"/>
          </w:tcPr>
          <w:p w14:paraId="42D656D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8.接口:8个外置USB接口 ,其中USB3.2≥4 USB2.0≥4。Kensington 线缆锁插槽；视频接口:一个VGA接口和一个HDMI接口;</w:t>
            </w:r>
          </w:p>
        </w:tc>
        <w:tc>
          <w:tcPr>
            <w:tcW w:w="731" w:type="dxa"/>
            <w:vMerge w:val="continue"/>
            <w:noWrap w:val="0"/>
            <w:vAlign w:val="center"/>
          </w:tcPr>
          <w:p w14:paraId="08DAFA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774" w:type="dxa"/>
            <w:vMerge w:val="continue"/>
            <w:noWrap w:val="0"/>
            <w:vAlign w:val="center"/>
          </w:tcPr>
          <w:p w14:paraId="26B0D3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357" w:type="dxa"/>
            <w:noWrap w:val="0"/>
            <w:vAlign w:val="center"/>
          </w:tcPr>
          <w:p w14:paraId="552DE08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241" w:type="dxa"/>
            <w:vMerge w:val="continue"/>
            <w:noWrap w:val="0"/>
            <w:vAlign w:val="center"/>
          </w:tcPr>
          <w:p w14:paraId="4F4018B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763" w:type="dxa"/>
            <w:vMerge w:val="continue"/>
            <w:noWrap w:val="0"/>
            <w:vAlign w:val="center"/>
          </w:tcPr>
          <w:p w14:paraId="0308351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FC1D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47" w:type="dxa"/>
            <w:vMerge w:val="continue"/>
            <w:noWrap w:val="0"/>
            <w:vAlign w:val="center"/>
          </w:tcPr>
          <w:p w14:paraId="46DC89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549" w:type="dxa"/>
            <w:vMerge w:val="continue"/>
            <w:noWrap w:val="0"/>
            <w:vAlign w:val="center"/>
          </w:tcPr>
          <w:p w14:paraId="2860E4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480" w:type="dxa"/>
            <w:noWrap w:val="0"/>
            <w:vAlign w:val="center"/>
          </w:tcPr>
          <w:p w14:paraId="01A4AF6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9.扩展插槽: ≥1个PCIe x16 ≥2个PCIe x1 ≥1个PCI插槽；</w:t>
            </w:r>
          </w:p>
        </w:tc>
        <w:tc>
          <w:tcPr>
            <w:tcW w:w="731" w:type="dxa"/>
            <w:vMerge w:val="continue"/>
            <w:noWrap w:val="0"/>
            <w:vAlign w:val="center"/>
          </w:tcPr>
          <w:p w14:paraId="7123CB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774" w:type="dxa"/>
            <w:vMerge w:val="continue"/>
            <w:noWrap w:val="0"/>
            <w:vAlign w:val="center"/>
          </w:tcPr>
          <w:p w14:paraId="725CE4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357" w:type="dxa"/>
            <w:noWrap w:val="0"/>
            <w:vAlign w:val="center"/>
          </w:tcPr>
          <w:p w14:paraId="4E39CC8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241" w:type="dxa"/>
            <w:vMerge w:val="continue"/>
            <w:noWrap w:val="0"/>
            <w:vAlign w:val="center"/>
          </w:tcPr>
          <w:p w14:paraId="1332D54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763" w:type="dxa"/>
            <w:vMerge w:val="continue"/>
            <w:noWrap w:val="0"/>
            <w:vAlign w:val="center"/>
          </w:tcPr>
          <w:p w14:paraId="7927CAD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7F6E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47" w:type="dxa"/>
            <w:vMerge w:val="continue"/>
            <w:noWrap w:val="0"/>
            <w:vAlign w:val="center"/>
          </w:tcPr>
          <w:p w14:paraId="60983F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549" w:type="dxa"/>
            <w:vMerge w:val="continue"/>
            <w:noWrap w:val="0"/>
            <w:vAlign w:val="center"/>
          </w:tcPr>
          <w:p w14:paraId="790292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480" w:type="dxa"/>
            <w:noWrap w:val="0"/>
            <w:vAlign w:val="center"/>
          </w:tcPr>
          <w:p w14:paraId="5FDB3C0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10.电源：EPA电源，≥功率650W，80plus认证；</w:t>
            </w:r>
          </w:p>
        </w:tc>
        <w:tc>
          <w:tcPr>
            <w:tcW w:w="731" w:type="dxa"/>
            <w:vMerge w:val="continue"/>
            <w:noWrap w:val="0"/>
            <w:vAlign w:val="center"/>
          </w:tcPr>
          <w:p w14:paraId="1757B4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774" w:type="dxa"/>
            <w:vMerge w:val="continue"/>
            <w:noWrap w:val="0"/>
            <w:vAlign w:val="center"/>
          </w:tcPr>
          <w:p w14:paraId="3D0F3D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357" w:type="dxa"/>
            <w:noWrap w:val="0"/>
            <w:vAlign w:val="center"/>
          </w:tcPr>
          <w:p w14:paraId="64CA01F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241" w:type="dxa"/>
            <w:vMerge w:val="continue"/>
            <w:noWrap w:val="0"/>
            <w:vAlign w:val="center"/>
          </w:tcPr>
          <w:p w14:paraId="77E1C17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763" w:type="dxa"/>
            <w:vMerge w:val="continue"/>
            <w:noWrap w:val="0"/>
            <w:vAlign w:val="center"/>
          </w:tcPr>
          <w:p w14:paraId="752EAA5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C08E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647" w:type="dxa"/>
            <w:vMerge w:val="continue"/>
            <w:noWrap w:val="0"/>
            <w:vAlign w:val="center"/>
          </w:tcPr>
          <w:p w14:paraId="11548A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549" w:type="dxa"/>
            <w:vMerge w:val="continue"/>
            <w:noWrap w:val="0"/>
            <w:vAlign w:val="center"/>
          </w:tcPr>
          <w:p w14:paraId="775929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480" w:type="dxa"/>
            <w:noWrap w:val="0"/>
            <w:vAlign w:val="center"/>
          </w:tcPr>
          <w:p w14:paraId="36715C4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11.CPU自带导风罩，可以有效提高散热及灰尘的进入，减少机器的故障率，提升机器的使用寿命；</w:t>
            </w:r>
          </w:p>
        </w:tc>
        <w:tc>
          <w:tcPr>
            <w:tcW w:w="731" w:type="dxa"/>
            <w:vMerge w:val="continue"/>
            <w:noWrap w:val="0"/>
            <w:vAlign w:val="center"/>
          </w:tcPr>
          <w:p w14:paraId="244894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774" w:type="dxa"/>
            <w:vMerge w:val="continue"/>
            <w:noWrap w:val="0"/>
            <w:vAlign w:val="center"/>
          </w:tcPr>
          <w:p w14:paraId="3EE550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357" w:type="dxa"/>
            <w:noWrap w:val="0"/>
            <w:vAlign w:val="center"/>
          </w:tcPr>
          <w:p w14:paraId="19AF8D4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241" w:type="dxa"/>
            <w:vMerge w:val="continue"/>
            <w:noWrap w:val="0"/>
            <w:vAlign w:val="center"/>
          </w:tcPr>
          <w:p w14:paraId="391D00E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763" w:type="dxa"/>
            <w:vMerge w:val="continue"/>
            <w:noWrap w:val="0"/>
            <w:vAlign w:val="center"/>
          </w:tcPr>
          <w:p w14:paraId="1D0B7D8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5274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647" w:type="dxa"/>
            <w:vMerge w:val="continue"/>
            <w:noWrap w:val="0"/>
            <w:vAlign w:val="center"/>
          </w:tcPr>
          <w:p w14:paraId="036406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549" w:type="dxa"/>
            <w:vMerge w:val="continue"/>
            <w:noWrap w:val="0"/>
            <w:vAlign w:val="center"/>
          </w:tcPr>
          <w:p w14:paraId="505AF3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480" w:type="dxa"/>
            <w:noWrap w:val="0"/>
            <w:vAlign w:val="center"/>
          </w:tcPr>
          <w:p w14:paraId="5F95D22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12.机箱自带提手，方便搬运，高整机防盗设计，主机配置防盗锁孔，后置电源故障诊断灯，便于快速定位设备故障原因；</w:t>
            </w:r>
          </w:p>
        </w:tc>
        <w:tc>
          <w:tcPr>
            <w:tcW w:w="731" w:type="dxa"/>
            <w:vMerge w:val="continue"/>
            <w:noWrap w:val="0"/>
            <w:vAlign w:val="center"/>
          </w:tcPr>
          <w:p w14:paraId="6A0B67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774" w:type="dxa"/>
            <w:vMerge w:val="continue"/>
            <w:noWrap w:val="0"/>
            <w:vAlign w:val="center"/>
          </w:tcPr>
          <w:p w14:paraId="50D037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357" w:type="dxa"/>
            <w:noWrap w:val="0"/>
            <w:vAlign w:val="center"/>
          </w:tcPr>
          <w:p w14:paraId="2F53BFA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241" w:type="dxa"/>
            <w:vMerge w:val="continue"/>
            <w:noWrap w:val="0"/>
            <w:vAlign w:val="center"/>
          </w:tcPr>
          <w:p w14:paraId="0EEC779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763" w:type="dxa"/>
            <w:vMerge w:val="continue"/>
            <w:noWrap w:val="0"/>
            <w:vAlign w:val="center"/>
          </w:tcPr>
          <w:p w14:paraId="5CE6BA0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87B8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47" w:type="dxa"/>
            <w:vMerge w:val="continue"/>
            <w:noWrap w:val="0"/>
            <w:vAlign w:val="center"/>
          </w:tcPr>
          <w:p w14:paraId="4C9DAA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549" w:type="dxa"/>
            <w:vMerge w:val="continue"/>
            <w:noWrap w:val="0"/>
            <w:vAlign w:val="center"/>
          </w:tcPr>
          <w:p w14:paraId="75842B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480" w:type="dxa"/>
            <w:noWrap w:val="0"/>
            <w:vAlign w:val="center"/>
          </w:tcPr>
          <w:p w14:paraId="039BC40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13.机箱大小:机箱容量不小于14.7L；</w:t>
            </w:r>
          </w:p>
        </w:tc>
        <w:tc>
          <w:tcPr>
            <w:tcW w:w="731" w:type="dxa"/>
            <w:vMerge w:val="continue"/>
            <w:noWrap w:val="0"/>
            <w:vAlign w:val="center"/>
          </w:tcPr>
          <w:p w14:paraId="1562EC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774" w:type="dxa"/>
            <w:vMerge w:val="continue"/>
            <w:noWrap w:val="0"/>
            <w:vAlign w:val="center"/>
          </w:tcPr>
          <w:p w14:paraId="551E81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357" w:type="dxa"/>
            <w:noWrap w:val="0"/>
            <w:vAlign w:val="center"/>
          </w:tcPr>
          <w:p w14:paraId="138CCCA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241" w:type="dxa"/>
            <w:vMerge w:val="continue"/>
            <w:noWrap w:val="0"/>
            <w:vAlign w:val="center"/>
          </w:tcPr>
          <w:p w14:paraId="3761958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763" w:type="dxa"/>
            <w:vMerge w:val="continue"/>
            <w:noWrap w:val="0"/>
            <w:vAlign w:val="center"/>
          </w:tcPr>
          <w:p w14:paraId="65D8363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0A0D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7" w:type="dxa"/>
            <w:vMerge w:val="continue"/>
            <w:noWrap w:val="0"/>
            <w:vAlign w:val="center"/>
          </w:tcPr>
          <w:p w14:paraId="3F5F85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549" w:type="dxa"/>
            <w:vMerge w:val="continue"/>
            <w:noWrap w:val="0"/>
            <w:vAlign w:val="center"/>
          </w:tcPr>
          <w:p w14:paraId="4670C7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480" w:type="dxa"/>
            <w:noWrap w:val="0"/>
            <w:vAlign w:val="center"/>
          </w:tcPr>
          <w:p w14:paraId="2D8106D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14.显示器:≥24寸品牌显示器,分辨率≥1080，刷新率≥75HZ；</w:t>
            </w:r>
          </w:p>
        </w:tc>
        <w:tc>
          <w:tcPr>
            <w:tcW w:w="731" w:type="dxa"/>
            <w:vMerge w:val="continue"/>
            <w:noWrap w:val="0"/>
            <w:vAlign w:val="center"/>
          </w:tcPr>
          <w:p w14:paraId="2DBA8A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774" w:type="dxa"/>
            <w:vMerge w:val="continue"/>
            <w:noWrap w:val="0"/>
            <w:vAlign w:val="center"/>
          </w:tcPr>
          <w:p w14:paraId="26D286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357" w:type="dxa"/>
            <w:vMerge w:val="restart"/>
            <w:noWrap w:val="0"/>
            <w:vAlign w:val="center"/>
          </w:tcPr>
          <w:p w14:paraId="6A71B8A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241" w:type="dxa"/>
            <w:vMerge w:val="continue"/>
            <w:noWrap w:val="0"/>
            <w:vAlign w:val="center"/>
          </w:tcPr>
          <w:p w14:paraId="4A10B4B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763" w:type="dxa"/>
            <w:vMerge w:val="continue"/>
            <w:noWrap w:val="0"/>
            <w:vAlign w:val="center"/>
          </w:tcPr>
          <w:p w14:paraId="0CC93ED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3874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47" w:type="dxa"/>
            <w:vMerge w:val="continue"/>
            <w:noWrap w:val="0"/>
            <w:vAlign w:val="center"/>
          </w:tcPr>
          <w:p w14:paraId="468099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549" w:type="dxa"/>
            <w:vMerge w:val="continue"/>
            <w:noWrap w:val="0"/>
            <w:vAlign w:val="center"/>
          </w:tcPr>
          <w:p w14:paraId="7098C6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480" w:type="dxa"/>
            <w:noWrap w:val="0"/>
            <w:vAlign w:val="center"/>
          </w:tcPr>
          <w:p w14:paraId="4ABB531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15.键鼠:USB键盘和鼠标；</w:t>
            </w:r>
          </w:p>
        </w:tc>
        <w:tc>
          <w:tcPr>
            <w:tcW w:w="731" w:type="dxa"/>
            <w:vMerge w:val="continue"/>
            <w:noWrap w:val="0"/>
            <w:vAlign w:val="center"/>
          </w:tcPr>
          <w:p w14:paraId="059B2A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774" w:type="dxa"/>
            <w:vMerge w:val="continue"/>
            <w:noWrap w:val="0"/>
            <w:vAlign w:val="center"/>
          </w:tcPr>
          <w:p w14:paraId="0A550F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357" w:type="dxa"/>
            <w:vMerge w:val="continue"/>
            <w:noWrap w:val="0"/>
            <w:vAlign w:val="center"/>
          </w:tcPr>
          <w:p w14:paraId="791AC77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241" w:type="dxa"/>
            <w:vMerge w:val="continue"/>
            <w:noWrap w:val="0"/>
            <w:vAlign w:val="center"/>
          </w:tcPr>
          <w:p w14:paraId="468BBEC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763" w:type="dxa"/>
            <w:vMerge w:val="continue"/>
            <w:noWrap w:val="0"/>
            <w:vAlign w:val="center"/>
          </w:tcPr>
          <w:p w14:paraId="2945B9D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6EF6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647" w:type="dxa"/>
            <w:vMerge w:val="continue"/>
            <w:noWrap w:val="0"/>
            <w:vAlign w:val="center"/>
          </w:tcPr>
          <w:p w14:paraId="1EDC4B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549" w:type="dxa"/>
            <w:vMerge w:val="continue"/>
            <w:noWrap w:val="0"/>
            <w:vAlign w:val="center"/>
          </w:tcPr>
          <w:p w14:paraId="18922B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480" w:type="dxa"/>
            <w:noWrap w:val="0"/>
            <w:vAlign w:val="center"/>
          </w:tcPr>
          <w:p w14:paraId="2ACB9D1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16.为方便电脑之间传输，提升授课效率，机器自带网络同传功能（非外加同传卡），同时安装多台机器程序；</w:t>
            </w:r>
          </w:p>
        </w:tc>
        <w:tc>
          <w:tcPr>
            <w:tcW w:w="731" w:type="dxa"/>
            <w:vMerge w:val="continue"/>
            <w:noWrap w:val="0"/>
            <w:vAlign w:val="center"/>
          </w:tcPr>
          <w:p w14:paraId="4CFBBF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774" w:type="dxa"/>
            <w:vMerge w:val="continue"/>
            <w:noWrap w:val="0"/>
            <w:vAlign w:val="center"/>
          </w:tcPr>
          <w:p w14:paraId="50E55A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357" w:type="dxa"/>
            <w:noWrap w:val="0"/>
            <w:vAlign w:val="center"/>
          </w:tcPr>
          <w:p w14:paraId="6FA644F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241" w:type="dxa"/>
            <w:vMerge w:val="continue"/>
            <w:noWrap w:val="0"/>
            <w:vAlign w:val="center"/>
          </w:tcPr>
          <w:p w14:paraId="56FCC6B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763" w:type="dxa"/>
            <w:vMerge w:val="continue"/>
            <w:noWrap w:val="0"/>
            <w:vAlign w:val="center"/>
          </w:tcPr>
          <w:p w14:paraId="682D7D8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7D3C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647" w:type="dxa"/>
            <w:vMerge w:val="continue"/>
            <w:noWrap w:val="0"/>
            <w:vAlign w:val="center"/>
          </w:tcPr>
          <w:p w14:paraId="47A15B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549" w:type="dxa"/>
            <w:vMerge w:val="continue"/>
            <w:noWrap w:val="0"/>
            <w:vAlign w:val="center"/>
          </w:tcPr>
          <w:p w14:paraId="063ABC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480" w:type="dxa"/>
            <w:noWrap w:val="0"/>
            <w:vAlign w:val="center"/>
          </w:tcPr>
          <w:p w14:paraId="0713163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17.保修：整机提供两年质保及免费上门服务。</w:t>
            </w:r>
          </w:p>
        </w:tc>
        <w:tc>
          <w:tcPr>
            <w:tcW w:w="731" w:type="dxa"/>
            <w:vMerge w:val="continue"/>
            <w:noWrap w:val="0"/>
            <w:vAlign w:val="center"/>
          </w:tcPr>
          <w:p w14:paraId="3031E9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774" w:type="dxa"/>
            <w:vMerge w:val="continue"/>
            <w:noWrap w:val="0"/>
            <w:vAlign w:val="center"/>
          </w:tcPr>
          <w:p w14:paraId="189DA7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357" w:type="dxa"/>
            <w:noWrap w:val="0"/>
            <w:vAlign w:val="center"/>
          </w:tcPr>
          <w:p w14:paraId="215ECE7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241" w:type="dxa"/>
            <w:vMerge w:val="continue"/>
            <w:noWrap w:val="0"/>
            <w:vAlign w:val="center"/>
          </w:tcPr>
          <w:p w14:paraId="497205A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763" w:type="dxa"/>
            <w:vMerge w:val="continue"/>
            <w:noWrap w:val="0"/>
            <w:vAlign w:val="center"/>
          </w:tcPr>
          <w:p w14:paraId="1DF6493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4E5C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noWrap w:val="0"/>
            <w:vAlign w:val="center"/>
          </w:tcPr>
          <w:p w14:paraId="5AAF99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1549" w:type="dxa"/>
            <w:noWrap w:val="0"/>
            <w:vAlign w:val="center"/>
          </w:tcPr>
          <w:p w14:paraId="076E00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桌椅</w:t>
            </w:r>
          </w:p>
        </w:tc>
        <w:tc>
          <w:tcPr>
            <w:tcW w:w="6480" w:type="dxa"/>
            <w:noWrap w:val="0"/>
            <w:vAlign w:val="center"/>
          </w:tcPr>
          <w:p w14:paraId="3562AB8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1.规格：桌≥1400*550*750mm；椅≥340*240*450mm；</w:t>
            </w:r>
          </w:p>
          <w:p w14:paraId="4B7E405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钢管厚度≥1.2mm厚，采用高温喷涂处理，使用漆洁合力提高；基材表面亚光静电喷塑。所有基材均经耐酸碱、防虫、防腐等特殊处理.面材：选用防火板贴面，硬度高，耐磨、耐热性好，表面平滑光洁，容易维护清洗，厚度≥2.5mm。材质：E1级优质颗粒板基材，拼缝精良,热压粘实,保持张力一致,不易变形；</w:t>
            </w:r>
          </w:p>
          <w:p w14:paraId="3B1C869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3.封边：封边严密、平整，与整块板材严丝合缝，不允许脱胶、表面有胶渍；</w:t>
            </w:r>
          </w:p>
          <w:p w14:paraId="0102816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4.五金件：优质五金配件，表面经镀铬处理，美观经久耐；</w:t>
            </w:r>
          </w:p>
          <w:p w14:paraId="0F6CB68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5.1年质保+售后维护。</w:t>
            </w:r>
          </w:p>
        </w:tc>
        <w:tc>
          <w:tcPr>
            <w:tcW w:w="731" w:type="dxa"/>
            <w:noWrap w:val="0"/>
            <w:vAlign w:val="center"/>
          </w:tcPr>
          <w:p w14:paraId="55299D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30</w:t>
            </w:r>
          </w:p>
        </w:tc>
        <w:tc>
          <w:tcPr>
            <w:tcW w:w="774" w:type="dxa"/>
            <w:noWrap w:val="0"/>
            <w:vAlign w:val="center"/>
          </w:tcPr>
          <w:p w14:paraId="4E20BE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c>
          <w:tcPr>
            <w:tcW w:w="1357" w:type="dxa"/>
            <w:noWrap w:val="0"/>
            <w:vAlign w:val="center"/>
          </w:tcPr>
          <w:p w14:paraId="247732E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241" w:type="dxa"/>
            <w:noWrap w:val="0"/>
            <w:vAlign w:val="center"/>
          </w:tcPr>
          <w:p w14:paraId="795BFDB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763" w:type="dxa"/>
            <w:noWrap w:val="0"/>
            <w:vAlign w:val="center"/>
          </w:tcPr>
          <w:p w14:paraId="517C119A">
            <w:pPr>
              <w:keepNext w:val="0"/>
              <w:keepLines w:val="0"/>
              <w:widowControl/>
              <w:suppressLineNumbers w:val="0"/>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highlight w:val="none"/>
              </w:rPr>
              <w:drawing>
                <wp:anchor distT="0" distB="0" distL="114300" distR="114300" simplePos="0" relativeHeight="251677696" behindDoc="0" locked="0" layoutInCell="1" allowOverlap="1">
                  <wp:simplePos x="0" y="0"/>
                  <wp:positionH relativeFrom="column">
                    <wp:posOffset>-60960</wp:posOffset>
                  </wp:positionH>
                  <wp:positionV relativeFrom="paragraph">
                    <wp:posOffset>73025</wp:posOffset>
                  </wp:positionV>
                  <wp:extent cx="1179830" cy="1139825"/>
                  <wp:effectExtent l="0" t="0" r="1270" b="3175"/>
                  <wp:wrapSquare wrapText="bothSides"/>
                  <wp:docPr id="1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7"/>
                          <pic:cNvPicPr>
                            <a:picLocks noChangeAspect="1"/>
                          </pic:cNvPicPr>
                        </pic:nvPicPr>
                        <pic:blipFill>
                          <a:blip r:embed="rId41"/>
                          <a:stretch>
                            <a:fillRect/>
                          </a:stretch>
                        </pic:blipFill>
                        <pic:spPr>
                          <a:xfrm>
                            <a:off x="0" y="0"/>
                            <a:ext cx="1179830" cy="1139825"/>
                          </a:xfrm>
                          <a:prstGeom prst="rect">
                            <a:avLst/>
                          </a:prstGeom>
                          <a:noFill/>
                          <a:ln>
                            <a:noFill/>
                          </a:ln>
                        </pic:spPr>
                      </pic:pic>
                    </a:graphicData>
                  </a:graphic>
                </wp:anchor>
              </w:drawing>
            </w:r>
          </w:p>
        </w:tc>
      </w:tr>
      <w:tr w14:paraId="0D395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noWrap w:val="0"/>
            <w:vAlign w:val="center"/>
          </w:tcPr>
          <w:p w14:paraId="57B280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549" w:type="dxa"/>
            <w:noWrap w:val="0"/>
            <w:vAlign w:val="center"/>
          </w:tcPr>
          <w:p w14:paraId="05BE5F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机柜</w:t>
            </w:r>
          </w:p>
        </w:tc>
        <w:tc>
          <w:tcPr>
            <w:tcW w:w="6480" w:type="dxa"/>
            <w:noWrap w:val="0"/>
            <w:vAlign w:val="center"/>
          </w:tcPr>
          <w:p w14:paraId="107525F0">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1、参数要求</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lang w:val="en-US" w:eastAsia="zh-CN" w:bidi="ar"/>
              </w:rPr>
              <w:t>600*800*1200mm，整体框架结构，材料：框架: SPCC优质冷轧钢板；厚度：方孔条</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lang w:val="en-US" w:eastAsia="zh-CN" w:bidi="ar"/>
              </w:rPr>
              <w:t>2.0mm，安装梁</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lang w:val="en-US" w:eastAsia="zh-CN" w:bidi="ar"/>
              </w:rPr>
              <w:t>1.2mm，侧门</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lang w:val="en-US" w:eastAsia="zh-CN" w:bidi="ar"/>
              </w:rPr>
              <w:t>1.0mm，其它</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lang w:val="en-US" w:eastAsia="zh-CN" w:bidi="ar"/>
              </w:rPr>
              <w:t>1.2mm；高级旋把门锁。承重</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lang w:val="en-US" w:eastAsia="zh-CN" w:bidi="ar"/>
              </w:rPr>
              <w:t>800kg.整体机架，前后网孔门，机柜顶部四个全静音风扇，保证内部良好通风及散热，封闭式电缆管理，电缆从顶部或底部进入；侧门可拆卸。在前后门安装6个缓冲垫，有明显的提示标签，机柜带有独立防静电接地系统系统，安装立柱可调整，可提供机柜并柜件。</w:t>
            </w:r>
          </w:p>
          <w:p w14:paraId="29C80EBA">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2、配件：一个10A6位PDU电源，3个层板，4个风扇，40套M6卡扣安装螺丝，地脚螺钉4颗。</w:t>
            </w:r>
          </w:p>
          <w:p w14:paraId="7253D6E8">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kern w:val="0"/>
                <w:sz w:val="18"/>
                <w:szCs w:val="18"/>
                <w:highlight w:val="none"/>
                <w:lang w:val="en-US" w:eastAsia="zh-CN" w:bidi="ar"/>
              </w:rPr>
              <w:t>3、质量保障：制造商通过国际质量体系ISO9000、CE、ROHS等认证。</w:t>
            </w:r>
          </w:p>
        </w:tc>
        <w:tc>
          <w:tcPr>
            <w:tcW w:w="731" w:type="dxa"/>
            <w:noWrap w:val="0"/>
            <w:vAlign w:val="center"/>
          </w:tcPr>
          <w:p w14:paraId="01AE66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774" w:type="dxa"/>
            <w:noWrap w:val="0"/>
            <w:vAlign w:val="center"/>
          </w:tcPr>
          <w:p w14:paraId="65CB8E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c>
          <w:tcPr>
            <w:tcW w:w="1357" w:type="dxa"/>
            <w:noWrap w:val="0"/>
            <w:vAlign w:val="center"/>
          </w:tcPr>
          <w:p w14:paraId="766402E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241" w:type="dxa"/>
            <w:noWrap w:val="0"/>
            <w:vAlign w:val="center"/>
          </w:tcPr>
          <w:p w14:paraId="01C4A0D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763" w:type="dxa"/>
            <w:noWrap w:val="0"/>
            <w:vAlign w:val="center"/>
          </w:tcPr>
          <w:p w14:paraId="2875A12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AFE4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noWrap w:val="0"/>
            <w:vAlign w:val="center"/>
          </w:tcPr>
          <w:p w14:paraId="147FF0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1549" w:type="dxa"/>
            <w:noWrap w:val="0"/>
            <w:vAlign w:val="center"/>
          </w:tcPr>
          <w:p w14:paraId="1E9BC59A">
            <w:pPr>
              <w:pStyle w:val="29"/>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sz w:val="18"/>
                <w:szCs w:val="18"/>
                <w:highlight w:val="none"/>
              </w:rPr>
              <w:t>网络同传</w:t>
            </w:r>
            <w:r>
              <w:rPr>
                <w:rFonts w:hint="eastAsia" w:ascii="宋体" w:hAnsi="宋体" w:eastAsia="宋体" w:cs="宋体"/>
                <w:color w:val="auto"/>
                <w:sz w:val="18"/>
                <w:szCs w:val="18"/>
                <w:highlight w:val="none"/>
                <w:lang w:val="en-US" w:eastAsia="zh-CN"/>
              </w:rPr>
              <w:t>机房管理系统</w:t>
            </w:r>
          </w:p>
        </w:tc>
        <w:tc>
          <w:tcPr>
            <w:tcW w:w="6480" w:type="dxa"/>
            <w:noWrap w:val="0"/>
            <w:vAlign w:val="center"/>
          </w:tcPr>
          <w:p w14:paraId="2562A566">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网络同传 出厂预装硬盘版网络同传软件，</w:t>
            </w:r>
          </w:p>
          <w:p w14:paraId="26394AEF">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1、</w:t>
            </w:r>
            <w:r>
              <w:rPr>
                <w:rFonts w:hint="eastAsia" w:ascii="宋体" w:hAnsi="宋体" w:eastAsia="宋体" w:cs="宋体"/>
                <w:color w:val="auto"/>
                <w:sz w:val="18"/>
                <w:szCs w:val="18"/>
                <w:highlight w:val="none"/>
                <w:lang w:val="en-US" w:eastAsia="zh-CN"/>
              </w:rPr>
              <w:t>保护/恢复数据：可对单分区、多分区经行快速保护和快速恢复数据。并且隐藏启动界面，隐藏操作员界面，隐藏恢复进度条。</w:t>
            </w:r>
          </w:p>
          <w:p w14:paraId="53039F3B">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2、</w:t>
            </w:r>
            <w:r>
              <w:rPr>
                <w:rFonts w:hint="eastAsia" w:ascii="宋体" w:hAnsi="宋体" w:eastAsia="宋体" w:cs="宋体"/>
                <w:color w:val="auto"/>
                <w:sz w:val="18"/>
                <w:szCs w:val="18"/>
                <w:highlight w:val="none"/>
                <w:lang w:val="en-US" w:eastAsia="zh-CN"/>
              </w:rPr>
              <w:t>智能同传：安装部署方便，支持传统BIOS主板及UEFI主板；支持XP、Windows7 32/64、Windows8 32/64、Windows10 32/64、Windows11等操作系统；</w:t>
            </w:r>
          </w:p>
          <w:p w14:paraId="368EF4D4">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3、</w:t>
            </w:r>
            <w:r>
              <w:rPr>
                <w:rFonts w:hint="eastAsia" w:ascii="宋体" w:hAnsi="宋体" w:eastAsia="宋体" w:cs="宋体"/>
                <w:color w:val="auto"/>
                <w:sz w:val="18"/>
                <w:szCs w:val="18"/>
                <w:highlight w:val="none"/>
                <w:lang w:val="en-US" w:eastAsia="zh-CN"/>
              </w:rPr>
              <w:t>网络对拷：支持PXE网卡引导，需同传的机子不管有没有系统都可进行快速部署。即使接收端硬盘状态不一，也能“增量对拷”，并智能化计算后传送最少数据量。</w:t>
            </w:r>
          </w:p>
          <w:p w14:paraId="591369D9">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4、</w:t>
            </w:r>
            <w:r>
              <w:rPr>
                <w:rFonts w:hint="eastAsia" w:ascii="宋体" w:hAnsi="宋体" w:eastAsia="宋体" w:cs="宋体"/>
                <w:color w:val="auto"/>
                <w:sz w:val="18"/>
                <w:szCs w:val="18"/>
                <w:highlight w:val="none"/>
                <w:lang w:val="en-US" w:eastAsia="zh-CN"/>
              </w:rPr>
              <w:t>本地硬盘复制:同时支持本地1对3块硬盘复制，可以一对三进行硬盘对拷完，方便少数故障机快速恢复正常状态。系统克隆：在同一块硬盘上可以同时复制多个相同的操作系统到其他分区。可以在一块硬盘上克隆多个系统，快速部署，满足不同场景下的教学环境需求。</w:t>
            </w:r>
          </w:p>
          <w:p w14:paraId="325D1398">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5、</w:t>
            </w:r>
            <w:r>
              <w:rPr>
                <w:rFonts w:hint="eastAsia" w:ascii="宋体" w:hAnsi="宋体" w:eastAsia="宋体" w:cs="宋体"/>
                <w:color w:val="auto"/>
                <w:sz w:val="18"/>
                <w:szCs w:val="18"/>
                <w:highlight w:val="none"/>
                <w:lang w:val="en-US" w:eastAsia="zh-CN"/>
              </w:rPr>
              <w:t>远程锁定：管理端可远程锁定客户端的鼠标、键盘或屏幕。</w:t>
            </w:r>
            <w:r>
              <w:rPr>
                <w:rFonts w:hint="eastAsia" w:ascii="宋体" w:hAnsi="宋体" w:eastAsia="宋体" w:cs="宋体"/>
                <w:color w:val="auto"/>
                <w:sz w:val="18"/>
                <w:szCs w:val="18"/>
                <w:highlight w:val="none"/>
                <w:lang w:val="en-US" w:eastAsia="zh-CN"/>
              </w:rPr>
              <w:tab/>
            </w:r>
          </w:p>
          <w:p w14:paraId="6CE1E75A">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6、</w:t>
            </w:r>
            <w:r>
              <w:rPr>
                <w:rFonts w:hint="eastAsia" w:ascii="宋体" w:hAnsi="宋体" w:eastAsia="宋体" w:cs="宋体"/>
                <w:color w:val="auto"/>
                <w:sz w:val="18"/>
                <w:szCs w:val="18"/>
                <w:highlight w:val="none"/>
                <w:lang w:val="en-US" w:eastAsia="zh-CN"/>
              </w:rPr>
              <w:t>排程设置：设定时间后自动开机进行网络同传，完成后所有计算机自动关机。</w:t>
            </w:r>
          </w:p>
          <w:p w14:paraId="7EF29D45">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7、</w:t>
            </w:r>
            <w:r>
              <w:rPr>
                <w:rFonts w:hint="eastAsia" w:ascii="宋体" w:hAnsi="宋体" w:eastAsia="宋体" w:cs="宋体"/>
                <w:color w:val="auto"/>
                <w:sz w:val="18"/>
                <w:szCs w:val="18"/>
                <w:highlight w:val="none"/>
                <w:lang w:val="en-US" w:eastAsia="zh-CN"/>
              </w:rPr>
              <w:t>资产管理:管理端可对客户端的软硬件信息进行资产盘点，并导出Doc或Excel文件以便保存。</w:t>
            </w:r>
          </w:p>
          <w:p w14:paraId="25D04C7A">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8、</w:t>
            </w:r>
            <w:r>
              <w:rPr>
                <w:rFonts w:hint="eastAsia" w:ascii="宋体" w:hAnsi="宋体" w:eastAsia="宋体" w:cs="宋体"/>
                <w:color w:val="auto"/>
                <w:sz w:val="18"/>
                <w:szCs w:val="18"/>
                <w:highlight w:val="none"/>
                <w:lang w:val="en-US" w:eastAsia="zh-CN"/>
              </w:rPr>
              <w:t>产品升级：管理端可下发升级包在几分钟内就升级所有客户端程序。</w:t>
            </w:r>
          </w:p>
          <w:p w14:paraId="529244D5">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9、</w:t>
            </w:r>
            <w:r>
              <w:rPr>
                <w:rFonts w:hint="eastAsia" w:ascii="宋体" w:hAnsi="宋体" w:eastAsia="宋体" w:cs="宋体"/>
                <w:color w:val="auto"/>
                <w:sz w:val="18"/>
                <w:szCs w:val="18"/>
                <w:highlight w:val="none"/>
                <w:lang w:val="en-US" w:eastAsia="zh-CN"/>
              </w:rPr>
              <w:t>电子教室：软件含电子教室功能，实现课堂教学老师对学生广播教学、学生演示、网页广播、电子点名、提交作业等多项教学互动功能。</w:t>
            </w:r>
          </w:p>
          <w:p w14:paraId="2E247AB1">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kern w:val="2"/>
                <w:sz w:val="18"/>
                <w:szCs w:val="18"/>
                <w:highlight w:val="none"/>
                <w:lang w:val="en-US" w:eastAsia="zh-CN" w:bidi="ar-SA"/>
              </w:rPr>
              <w:t>10、</w:t>
            </w:r>
            <w:r>
              <w:rPr>
                <w:rFonts w:hint="eastAsia" w:ascii="宋体" w:hAnsi="宋体" w:eastAsia="宋体" w:cs="宋体"/>
                <w:color w:val="auto"/>
                <w:sz w:val="18"/>
                <w:szCs w:val="18"/>
                <w:highlight w:val="none"/>
                <w:lang w:val="en-US" w:eastAsia="zh-CN"/>
              </w:rPr>
              <w:t>客户端搜索：管理端可以抓取该局域网内的所有客户端，即便该客户端已登入其他管理端。便于一次性管理所有电脑教室。将系统被使用的情况都记录在日志文件内，以供需要时查询。</w:t>
            </w:r>
          </w:p>
        </w:tc>
        <w:tc>
          <w:tcPr>
            <w:tcW w:w="731" w:type="dxa"/>
            <w:noWrap w:val="0"/>
            <w:vAlign w:val="center"/>
          </w:tcPr>
          <w:p w14:paraId="60E16F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774" w:type="dxa"/>
            <w:noWrap w:val="0"/>
            <w:vAlign w:val="center"/>
          </w:tcPr>
          <w:p w14:paraId="52F3A4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c>
          <w:tcPr>
            <w:tcW w:w="1357" w:type="dxa"/>
            <w:noWrap w:val="0"/>
            <w:vAlign w:val="center"/>
          </w:tcPr>
          <w:p w14:paraId="45AC9B7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241" w:type="dxa"/>
            <w:noWrap w:val="0"/>
            <w:vAlign w:val="center"/>
          </w:tcPr>
          <w:p w14:paraId="1A1B079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763" w:type="dxa"/>
            <w:noWrap w:val="0"/>
            <w:vAlign w:val="center"/>
          </w:tcPr>
          <w:p w14:paraId="09B0122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E0B6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noWrap w:val="0"/>
            <w:vAlign w:val="center"/>
          </w:tcPr>
          <w:p w14:paraId="48042F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w:t>
            </w:r>
          </w:p>
        </w:tc>
        <w:tc>
          <w:tcPr>
            <w:tcW w:w="1549" w:type="dxa"/>
            <w:noWrap w:val="0"/>
            <w:vAlign w:val="center"/>
          </w:tcPr>
          <w:p w14:paraId="1E7344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教学管理软件</w:t>
            </w:r>
          </w:p>
        </w:tc>
        <w:tc>
          <w:tcPr>
            <w:tcW w:w="6480" w:type="dxa"/>
            <w:noWrap w:val="0"/>
            <w:vAlign w:val="center"/>
          </w:tcPr>
          <w:p w14:paraId="24BB66F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sz w:val="18"/>
                <w:szCs w:val="18"/>
                <w:highlight w:val="none"/>
                <w:lang w:val="en-US" w:eastAsia="zh-CN"/>
              </w:rPr>
              <w:t>1、屏幕广播：将教师机屏幕和教师讲话实时广播给单一、部分或全体学生，可选择全屏或窗口方式。</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2、共享白板：教师可共享白板、桌面或图片与选定的学生共同完成相同的学习任务或绘画作品，提供学生也可以单独完成。</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3、网络影院：实现教师机播放的视频同步广播到学生机。</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4、屏幕录制：教师机可以将本地的操作和讲解过程录制为mp4录像文件，可以用 Windows 自带的 Media Player 直接播放。</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5、学生端屏幕录制、回放：学生端接收教师端广播的时候可以自动录制教师机广播教学的过程，课后可以重复观看学习。</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文件分发：允许教师将教师机不同盘符中的目录或文件一起发送至生机的某目录下。目录不存在自动新建此目录；盘符不存在或路径非法不允许分发；文件已存在选择自动覆盖或保留原始文件。</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6、文件提交：学生把做好的作业直接提交到教师机，方便教师批改作业要收取的麻烦。</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7、屏幕监视：教师机可以监视单一、部分、全体学生机的屏幕，教师机每屏可监视多个学生屏幕（方便监视操作及查看）。可以控制教师机监控的同屏幕各窗口间、屏幕与屏幕间的切换速度。可手动或自动循环监视。</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8、网页限制：设定学生访问网站的黑名单或白名单，对学生可以访问的Internet站点进行管理。支持多浏览器限制，如QQ、IE、谷歌、360、遨游等浏览器。</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9、程序限制：通过各种策略的应用，可防止学生在教学过程中打游戏，或使用QQ，MSN等聊天工具，支持限制U盘，网络映射盘，硬盘虚拟盘，虚拟光盘，内存虚拟盘里的程序。</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10、自动锁屏：独有的断线保护自动锁屏技术，通过网卡的是否激活来锁定屏幕，避免学生拔掉网线违反纪律。</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11、防杀进程：为安全起见，学生端程序运行后，防止学生通过任务管理器结束学生端程序进程来逃脱教师控制。</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请求帮助：学生端遇到问题可请求帮助，教师端可远程遥控帮助学生解决问题。</w:t>
            </w:r>
          </w:p>
        </w:tc>
        <w:tc>
          <w:tcPr>
            <w:tcW w:w="731" w:type="dxa"/>
            <w:noWrap w:val="0"/>
            <w:vAlign w:val="center"/>
          </w:tcPr>
          <w:p w14:paraId="597E84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774" w:type="dxa"/>
            <w:noWrap w:val="0"/>
            <w:vAlign w:val="center"/>
          </w:tcPr>
          <w:p w14:paraId="405962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c>
          <w:tcPr>
            <w:tcW w:w="1357" w:type="dxa"/>
            <w:noWrap w:val="0"/>
            <w:vAlign w:val="center"/>
          </w:tcPr>
          <w:p w14:paraId="40C4721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241" w:type="dxa"/>
            <w:noWrap w:val="0"/>
            <w:vAlign w:val="center"/>
          </w:tcPr>
          <w:p w14:paraId="535EBA0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763" w:type="dxa"/>
            <w:noWrap w:val="0"/>
            <w:vAlign w:val="center"/>
          </w:tcPr>
          <w:p w14:paraId="1FC4165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1E3E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noWrap w:val="0"/>
            <w:vAlign w:val="center"/>
          </w:tcPr>
          <w:p w14:paraId="4AFE7D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w:t>
            </w:r>
          </w:p>
        </w:tc>
        <w:tc>
          <w:tcPr>
            <w:tcW w:w="1549" w:type="dxa"/>
            <w:noWrap w:val="0"/>
            <w:vAlign w:val="center"/>
          </w:tcPr>
          <w:p w14:paraId="0206D8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静电地板</w:t>
            </w:r>
          </w:p>
        </w:tc>
        <w:tc>
          <w:tcPr>
            <w:tcW w:w="6480" w:type="dxa"/>
            <w:noWrap w:val="0"/>
            <w:vAlign w:val="center"/>
          </w:tcPr>
          <w:p w14:paraId="6F3AB34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1.规格：600mm×600mm×35mm，地板表面为小兰花陶瓷面，厚度45mm，内腔填充发泡水泥。防水、防火、防潮性能，含各类配件；</w:t>
            </w:r>
          </w:p>
          <w:p w14:paraId="0699D5E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2.产品具备高承载、防腐蚀，规格尺寸600mm*600mm*35mm，产品填充发泡水泥，支架厚度上不低于3mm下不低于2mm，横梁厚度不低于0.8mm。支架配比不低于3.2个/m2；横梁配比不低于5.2根/m2；</w:t>
            </w:r>
          </w:p>
          <w:p w14:paraId="079338F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3.集中载荷=2950N时挠度≤2.0mm、永久变形≤0.25mm；</w:t>
            </w:r>
          </w:p>
          <w:p w14:paraId="70029CF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4.均布载荷=12500N/㎡  挠度≤2.0mm；</w:t>
            </w:r>
          </w:p>
          <w:p w14:paraId="11BE91D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5.极限集中载荷：≥8850N；</w:t>
            </w:r>
          </w:p>
          <w:p w14:paraId="6B2AA0D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6.地板表面经过导电环氧树脂喷塑处理，内腔填充发泡水泥。防水、防火、防潮性能，含各类配件；</w:t>
            </w:r>
          </w:p>
          <w:p w14:paraId="5504A2C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7.靠墙部分必须用支架支撑，门口采用不锈钢条地板直角封边；</w:t>
            </w:r>
          </w:p>
          <w:p w14:paraId="4C352ED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8.1年质保+售后维护。</w:t>
            </w:r>
          </w:p>
        </w:tc>
        <w:tc>
          <w:tcPr>
            <w:tcW w:w="731" w:type="dxa"/>
            <w:noWrap w:val="0"/>
            <w:vAlign w:val="center"/>
          </w:tcPr>
          <w:p w14:paraId="36F000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75</w:t>
            </w:r>
          </w:p>
        </w:tc>
        <w:tc>
          <w:tcPr>
            <w:tcW w:w="774" w:type="dxa"/>
            <w:noWrap w:val="0"/>
            <w:vAlign w:val="center"/>
          </w:tcPr>
          <w:p w14:paraId="585C16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w:t>
            </w:r>
          </w:p>
        </w:tc>
        <w:tc>
          <w:tcPr>
            <w:tcW w:w="1357" w:type="dxa"/>
            <w:noWrap w:val="0"/>
            <w:vAlign w:val="center"/>
          </w:tcPr>
          <w:p w14:paraId="0595B6C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241" w:type="dxa"/>
            <w:noWrap w:val="0"/>
            <w:vAlign w:val="center"/>
          </w:tcPr>
          <w:p w14:paraId="7CB0D6B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763" w:type="dxa"/>
            <w:noWrap w:val="0"/>
            <w:vAlign w:val="center"/>
          </w:tcPr>
          <w:p w14:paraId="1FA60B8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32F4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647" w:type="dxa"/>
            <w:noWrap w:val="0"/>
            <w:vAlign w:val="center"/>
          </w:tcPr>
          <w:p w14:paraId="3A5A4D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w:t>
            </w:r>
          </w:p>
        </w:tc>
        <w:tc>
          <w:tcPr>
            <w:tcW w:w="1549" w:type="dxa"/>
            <w:noWrap w:val="0"/>
            <w:vAlign w:val="center"/>
          </w:tcPr>
          <w:p w14:paraId="05260A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柜式空调</w:t>
            </w:r>
          </w:p>
        </w:tc>
        <w:tc>
          <w:tcPr>
            <w:tcW w:w="6480" w:type="dxa"/>
            <w:noWrap w:val="0"/>
            <w:vAlign w:val="center"/>
          </w:tcPr>
          <w:p w14:paraId="587BBFD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1.正3匹及以上功率柜式冷暖变频空调；</w:t>
            </w:r>
          </w:p>
          <w:p w14:paraId="303280E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2.1级能效；</w:t>
            </w:r>
          </w:p>
          <w:p w14:paraId="5B4B437E">
            <w:pPr>
              <w:pStyle w:val="29"/>
              <w:keepNext w:val="0"/>
              <w:keepLines w:val="0"/>
              <w:pageBreakBefore w:val="0"/>
              <w:widowControl/>
              <w:numPr>
                <w:ilvl w:val="0"/>
                <w:numId w:val="0"/>
              </w:numPr>
              <w:kinsoku/>
              <w:wordWrap/>
              <w:overflowPunct/>
              <w:topLinePunct w:val="0"/>
              <w:autoSpaceDE/>
              <w:autoSpaceDN/>
              <w:bidi w:val="0"/>
              <w:adjustRightInd/>
              <w:snapToGrid/>
              <w:spacing w:after="0" w:line="300" w:lineRule="exact"/>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3.循环风量1200m3/h以上；</w:t>
            </w:r>
          </w:p>
          <w:p w14:paraId="09F9A3C8">
            <w:pPr>
              <w:pStyle w:val="29"/>
              <w:keepNext w:val="0"/>
              <w:keepLines w:val="0"/>
              <w:pageBreakBefore w:val="0"/>
              <w:widowControl/>
              <w:numPr>
                <w:ilvl w:val="0"/>
                <w:numId w:val="0"/>
              </w:numPr>
              <w:kinsoku/>
              <w:wordWrap/>
              <w:overflowPunct/>
              <w:topLinePunct w:val="0"/>
              <w:autoSpaceDE/>
              <w:autoSpaceDN/>
              <w:bidi w:val="0"/>
              <w:adjustRightInd/>
              <w:snapToGrid/>
              <w:spacing w:after="0" w:line="300" w:lineRule="exact"/>
              <w:ind w:left="0" w:leftChars="0" w:firstLine="0" w:firstLineChars="0"/>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4.6年质保+售后维护。</w:t>
            </w:r>
          </w:p>
        </w:tc>
        <w:tc>
          <w:tcPr>
            <w:tcW w:w="731" w:type="dxa"/>
            <w:noWrap w:val="0"/>
            <w:vAlign w:val="center"/>
          </w:tcPr>
          <w:p w14:paraId="723D76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774" w:type="dxa"/>
            <w:noWrap w:val="0"/>
            <w:vAlign w:val="center"/>
          </w:tcPr>
          <w:p w14:paraId="2C361C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台</w:t>
            </w:r>
          </w:p>
        </w:tc>
        <w:tc>
          <w:tcPr>
            <w:tcW w:w="1357" w:type="dxa"/>
            <w:noWrap w:val="0"/>
            <w:vAlign w:val="center"/>
          </w:tcPr>
          <w:p w14:paraId="61095B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241" w:type="dxa"/>
            <w:noWrap w:val="0"/>
            <w:vAlign w:val="center"/>
          </w:tcPr>
          <w:p w14:paraId="2F2779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763" w:type="dxa"/>
            <w:noWrap w:val="0"/>
            <w:vAlign w:val="center"/>
          </w:tcPr>
          <w:p w14:paraId="4CDC8C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88F2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647" w:type="dxa"/>
            <w:noWrap w:val="0"/>
            <w:vAlign w:val="center"/>
          </w:tcPr>
          <w:p w14:paraId="5B26D7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w:t>
            </w:r>
          </w:p>
        </w:tc>
        <w:tc>
          <w:tcPr>
            <w:tcW w:w="1549" w:type="dxa"/>
            <w:noWrap w:val="0"/>
            <w:vAlign w:val="center"/>
          </w:tcPr>
          <w:p w14:paraId="1F428A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安装调试及辅材</w:t>
            </w:r>
          </w:p>
        </w:tc>
        <w:tc>
          <w:tcPr>
            <w:tcW w:w="6480" w:type="dxa"/>
            <w:noWrap w:val="0"/>
            <w:vAlign w:val="center"/>
          </w:tcPr>
          <w:p w14:paraId="48617F3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一级配电箱和二级配电箱，所需的2.5㎡、4㎡强电线缆，六类网线弱电线缆以及相应的公牛排插等辅材，搬运安装调试，室内消防要求配置灭火器等</w:t>
            </w:r>
          </w:p>
        </w:tc>
        <w:tc>
          <w:tcPr>
            <w:tcW w:w="731" w:type="dxa"/>
            <w:noWrap w:val="0"/>
            <w:vAlign w:val="center"/>
          </w:tcPr>
          <w:p w14:paraId="610D78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774" w:type="dxa"/>
            <w:noWrap w:val="0"/>
            <w:vAlign w:val="center"/>
          </w:tcPr>
          <w:p w14:paraId="195DE6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c>
          <w:tcPr>
            <w:tcW w:w="1357" w:type="dxa"/>
            <w:noWrap w:val="0"/>
            <w:vAlign w:val="center"/>
          </w:tcPr>
          <w:p w14:paraId="3ADC92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241" w:type="dxa"/>
            <w:noWrap w:val="0"/>
            <w:vAlign w:val="center"/>
          </w:tcPr>
          <w:p w14:paraId="0D16EC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763" w:type="dxa"/>
            <w:noWrap w:val="0"/>
            <w:vAlign w:val="center"/>
          </w:tcPr>
          <w:p w14:paraId="3A276F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D517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47" w:type="dxa"/>
            <w:noWrap w:val="0"/>
            <w:vAlign w:val="center"/>
          </w:tcPr>
          <w:p w14:paraId="4FC332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1549" w:type="dxa"/>
            <w:noWrap w:val="0"/>
            <w:vAlign w:val="center"/>
          </w:tcPr>
          <w:p w14:paraId="4A09A9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智能交互平板</w:t>
            </w:r>
          </w:p>
        </w:tc>
        <w:tc>
          <w:tcPr>
            <w:tcW w:w="6480" w:type="dxa"/>
            <w:noWrap w:val="0"/>
            <w:vAlign w:val="center"/>
          </w:tcPr>
          <w:p w14:paraId="7E2C0E5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1.整机采用一体化设计，屏幕尺寸≥86英寸，显示比例16:9；</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2.显示分辨率不低于3840×2160（4K）；</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3.显示亮度≥400cd/㎡，对比度≥1200:1；</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4.采用红外或电容触控技术，支持≥20点同时触控；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5.内置音响系统，整机前置扬声器，功率满足教室教学需求；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6.接口不少于：HDMI≥3个、USB≥5个（含前置USB接口）；</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7.支持无线投屏功能，可实现教师电脑与学生终端内容展示；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8.内置或兼容电子白板软件，支持书写、批注、截图、保存；</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9.支持与教学管理软件（如极域）配合使用，实现屏幕展示与课堂教学控制；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w:t>
            </w:r>
            <w:r>
              <w:rPr>
                <w:rFonts w:hint="eastAsia" w:ascii="宋体" w:hAnsi="宋体" w:eastAsia="宋体" w:cs="宋体"/>
                <w:color w:val="auto"/>
                <w:sz w:val="18"/>
                <w:szCs w:val="18"/>
                <w:highlight w:val="none"/>
                <w:lang w:val="en-US" w:eastAsia="zh-CN"/>
              </w:rPr>
              <w:t>保修：整机提供3年质保及免费上门服务。</w:t>
            </w:r>
            <w:r>
              <w:rPr>
                <w:rFonts w:hint="eastAsia" w:ascii="宋体" w:hAnsi="宋体" w:eastAsia="宋体" w:cs="宋体"/>
                <w:i w:val="0"/>
                <w:iCs w:val="0"/>
                <w:color w:val="auto"/>
                <w:kern w:val="0"/>
                <w:sz w:val="18"/>
                <w:szCs w:val="18"/>
                <w:highlight w:val="none"/>
                <w:u w:val="none"/>
                <w:lang w:val="en-US" w:eastAsia="zh-CN" w:bidi="ar"/>
              </w:rPr>
              <w:t>。</w:t>
            </w:r>
          </w:p>
        </w:tc>
        <w:tc>
          <w:tcPr>
            <w:tcW w:w="731" w:type="dxa"/>
            <w:noWrap w:val="0"/>
            <w:vAlign w:val="center"/>
          </w:tcPr>
          <w:p w14:paraId="37507E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774" w:type="dxa"/>
            <w:noWrap w:val="0"/>
            <w:vAlign w:val="center"/>
          </w:tcPr>
          <w:p w14:paraId="41197C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台</w:t>
            </w:r>
          </w:p>
        </w:tc>
        <w:tc>
          <w:tcPr>
            <w:tcW w:w="1357" w:type="dxa"/>
            <w:noWrap w:val="0"/>
            <w:vAlign w:val="center"/>
          </w:tcPr>
          <w:p w14:paraId="38A8B3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241" w:type="dxa"/>
            <w:noWrap w:val="0"/>
            <w:vAlign w:val="center"/>
          </w:tcPr>
          <w:p w14:paraId="5980A6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763" w:type="dxa"/>
            <w:noWrap w:val="0"/>
            <w:vAlign w:val="center"/>
          </w:tcPr>
          <w:p w14:paraId="227ACB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含壁挂或移动支架</w:t>
            </w:r>
          </w:p>
        </w:tc>
      </w:tr>
      <w:tr w14:paraId="13F2F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647" w:type="dxa"/>
            <w:noWrap w:val="0"/>
            <w:vAlign w:val="center"/>
          </w:tcPr>
          <w:p w14:paraId="22C7F1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w:t>
            </w:r>
          </w:p>
        </w:tc>
        <w:tc>
          <w:tcPr>
            <w:tcW w:w="1549" w:type="dxa"/>
            <w:noWrap w:val="0"/>
            <w:vAlign w:val="center"/>
          </w:tcPr>
          <w:p w14:paraId="0BD74C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实训室文化建设</w:t>
            </w:r>
          </w:p>
        </w:tc>
        <w:tc>
          <w:tcPr>
            <w:tcW w:w="6480" w:type="dxa"/>
            <w:noWrap w:val="0"/>
            <w:vAlign w:val="center"/>
          </w:tcPr>
          <w:p w14:paraId="5AD74E8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1.围绕“智能工程学院专业机房实训室”主题进行整体文化设计与制作，内容包括但不限于专业文化展示、实训室功能定位、管理制度与安全规范等；</w:t>
            </w:r>
          </w:p>
          <w:p w14:paraId="30C60BD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2.文化建设形式包含：文化墙、制度上墙、专业发展与岗位能力展示板等，采用写真、PVC板、亚克力板、KT板或同等材质制作；</w:t>
            </w:r>
          </w:p>
          <w:p w14:paraId="23D24A7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3.文化版面设计风格统一，图文清晰，符合职业院校实训室文化建设要求；</w:t>
            </w:r>
          </w:p>
          <w:p w14:paraId="31DFEFC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4.制作内容需包含但不限于：实训室简介、使用规范、安全操作须知、文明实训公约等；</w:t>
            </w:r>
          </w:p>
          <w:p w14:paraId="2E85851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5.安装方式为墙面固定安装，确保牢固、安全、美观；</w:t>
            </w:r>
          </w:p>
          <w:p w14:paraId="52D7A9F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6.含文化内容设计、制作、运输、安装及调试等全部费用；</w:t>
            </w:r>
          </w:p>
          <w:p w14:paraId="63E18AC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7.文化建设完成后应整体协调，与机房环境和教学功能相匹配；</w:t>
            </w:r>
          </w:p>
          <w:p w14:paraId="50E675A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8.项目自验收合格之日起，提供不少于1年的质量保证及售后维护服务，质保期内因材料、制作或安装质量问题造成的损坏，供应商须负责免费整改或更换。</w:t>
            </w:r>
          </w:p>
        </w:tc>
        <w:tc>
          <w:tcPr>
            <w:tcW w:w="731" w:type="dxa"/>
            <w:noWrap w:val="0"/>
            <w:vAlign w:val="center"/>
          </w:tcPr>
          <w:p w14:paraId="71F371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774" w:type="dxa"/>
            <w:noWrap w:val="0"/>
            <w:vAlign w:val="center"/>
          </w:tcPr>
          <w:p w14:paraId="614F57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项</w:t>
            </w:r>
          </w:p>
        </w:tc>
        <w:tc>
          <w:tcPr>
            <w:tcW w:w="1357" w:type="dxa"/>
            <w:noWrap w:val="0"/>
            <w:vAlign w:val="center"/>
          </w:tcPr>
          <w:p w14:paraId="404A73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241" w:type="dxa"/>
            <w:noWrap w:val="0"/>
            <w:vAlign w:val="center"/>
          </w:tcPr>
          <w:p w14:paraId="1B43B3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763" w:type="dxa"/>
            <w:noWrap w:val="0"/>
            <w:vAlign w:val="center"/>
          </w:tcPr>
          <w:p w14:paraId="759E12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定制化设计制作</w:t>
            </w:r>
          </w:p>
        </w:tc>
      </w:tr>
    </w:tbl>
    <w:p w14:paraId="5108401D">
      <w:pPr>
        <w:wordWrap w:val="0"/>
        <w:snapToGrid w:val="0"/>
        <w:spacing w:line="500" w:lineRule="exact"/>
        <w:rPr>
          <w:rFonts w:hint="eastAsia" w:ascii="仿宋" w:hAnsi="仿宋" w:eastAsia="仿宋" w:cs="仿宋"/>
          <w:b/>
          <w:bCs/>
          <w:sz w:val="44"/>
        </w:rPr>
      </w:pPr>
    </w:p>
    <w:p w14:paraId="239316D7">
      <w:pPr>
        <w:wordWrap w:val="0"/>
        <w:snapToGrid w:val="0"/>
        <w:spacing w:line="500" w:lineRule="exact"/>
        <w:jc w:val="center"/>
        <w:rPr>
          <w:rFonts w:hint="eastAsia" w:ascii="仿宋" w:hAnsi="仿宋" w:eastAsia="仿宋" w:cs="仿宋"/>
          <w:b/>
          <w:bCs/>
          <w:sz w:val="44"/>
        </w:rPr>
      </w:pPr>
    </w:p>
    <w:p w14:paraId="5CE008D3">
      <w:pPr>
        <w:wordWrap w:val="0"/>
        <w:snapToGrid w:val="0"/>
        <w:spacing w:line="500" w:lineRule="exact"/>
        <w:jc w:val="center"/>
        <w:rPr>
          <w:rFonts w:hint="eastAsia" w:ascii="仿宋" w:hAnsi="仿宋" w:eastAsia="仿宋" w:cs="仿宋"/>
          <w:b/>
          <w:bCs/>
          <w:sz w:val="44"/>
        </w:rPr>
        <w:sectPr>
          <w:headerReference r:id="rId25" w:type="first"/>
          <w:footerReference r:id="rId28" w:type="first"/>
          <w:headerReference r:id="rId23" w:type="default"/>
          <w:footerReference r:id="rId26" w:type="default"/>
          <w:headerReference r:id="rId24" w:type="even"/>
          <w:footerReference r:id="rId27" w:type="even"/>
          <w:pgSz w:w="16840" w:h="11907" w:orient="landscape"/>
          <w:pgMar w:top="1134" w:right="1134" w:bottom="1134" w:left="1134" w:header="964" w:footer="992" w:gutter="0"/>
          <w:cols w:space="720" w:num="1"/>
          <w:titlePg/>
          <w:docGrid w:linePitch="312" w:charSpace="0"/>
        </w:sectPr>
      </w:pPr>
    </w:p>
    <w:bookmarkEnd w:id="790"/>
    <w:bookmarkEnd w:id="791"/>
    <w:p w14:paraId="19BF74E0">
      <w:pPr>
        <w:spacing w:line="240" w:lineRule="exact"/>
        <w:rPr>
          <w:rFonts w:hint="eastAsia" w:ascii="宋体" w:hAnsi="宋体" w:cs="宋体"/>
          <w:b/>
          <w:bCs/>
          <w:sz w:val="44"/>
          <w:szCs w:val="44"/>
        </w:rPr>
      </w:pPr>
    </w:p>
    <w:p w14:paraId="60F37044">
      <w:pPr>
        <w:keepNext/>
        <w:numPr>
          <w:ilvl w:val="0"/>
          <w:numId w:val="16"/>
        </w:numPr>
        <w:spacing w:line="360" w:lineRule="auto"/>
        <w:jc w:val="center"/>
        <w:outlineLvl w:val="0"/>
        <w:rPr>
          <w:rFonts w:hint="eastAsia" w:ascii="宋体" w:hAnsi="宋体" w:cs="宋体"/>
          <w:b/>
          <w:bCs/>
          <w:sz w:val="44"/>
          <w:szCs w:val="44"/>
        </w:rPr>
      </w:pPr>
      <w:r>
        <w:rPr>
          <w:rFonts w:hint="eastAsia" w:ascii="宋体" w:hAnsi="宋体" w:cs="宋体"/>
          <w:b/>
          <w:bCs/>
          <w:sz w:val="44"/>
          <w:szCs w:val="44"/>
        </w:rPr>
        <w:t xml:space="preserve"> </w:t>
      </w:r>
      <w:bookmarkStart w:id="792" w:name="_Toc10139"/>
      <w:r>
        <w:rPr>
          <w:rFonts w:hint="eastAsia" w:ascii="宋体" w:hAnsi="宋体" w:cs="宋体"/>
          <w:b/>
          <w:bCs/>
          <w:sz w:val="44"/>
          <w:szCs w:val="44"/>
        </w:rPr>
        <w:t>响应文件格式</w:t>
      </w:r>
      <w:bookmarkEnd w:id="792"/>
    </w:p>
    <w:p w14:paraId="7626D810">
      <w:pPr>
        <w:numPr>
          <w:ilvl w:val="0"/>
          <w:numId w:val="16"/>
        </w:numPr>
      </w:pPr>
      <w:r>
        <w:rPr>
          <w:rFonts w:hint="eastAsia"/>
        </w:rPr>
        <w:br w:type="page"/>
      </w:r>
    </w:p>
    <w:p w14:paraId="4B3BC537">
      <w:pPr>
        <w:widowControl/>
        <w:spacing w:line="400" w:lineRule="exact"/>
        <w:jc w:val="right"/>
        <w:rPr>
          <w:rFonts w:hint="eastAsia" w:ascii="宋体" w:hAnsi="宋体" w:cs="宋体"/>
          <w:b/>
          <w:sz w:val="36"/>
          <w:szCs w:val="36"/>
        </w:rPr>
      </w:pPr>
    </w:p>
    <w:p w14:paraId="4F099BEE">
      <w:pPr>
        <w:widowControl/>
        <w:spacing w:line="400" w:lineRule="exact"/>
        <w:jc w:val="right"/>
        <w:rPr>
          <w:rFonts w:hint="eastAsia" w:ascii="宋体" w:hAnsi="宋体" w:cs="宋体"/>
          <w:b/>
          <w:sz w:val="36"/>
          <w:szCs w:val="36"/>
        </w:rPr>
      </w:pPr>
      <w:r>
        <w:rPr>
          <w:rFonts w:hint="eastAsia" w:ascii="宋体" w:hAnsi="宋体" w:cs="宋体"/>
          <w:b/>
          <w:sz w:val="36"/>
          <w:szCs w:val="36"/>
        </w:rPr>
        <w:t>正本（或副本）</w:t>
      </w:r>
    </w:p>
    <w:p w14:paraId="3EAFE835">
      <w:pPr>
        <w:pStyle w:val="43"/>
      </w:pPr>
    </w:p>
    <w:p w14:paraId="7D6BFE8F">
      <w:pPr>
        <w:tabs>
          <w:tab w:val="left" w:pos="3600"/>
          <w:tab w:val="left" w:pos="4480"/>
          <w:tab w:val="left" w:pos="5360"/>
        </w:tabs>
        <w:autoSpaceDE w:val="0"/>
        <w:autoSpaceDN w:val="0"/>
        <w:adjustRightInd w:val="0"/>
        <w:snapToGrid w:val="0"/>
        <w:spacing w:line="360" w:lineRule="auto"/>
        <w:jc w:val="center"/>
        <w:rPr>
          <w:rFonts w:hint="eastAsia" w:ascii="宋体" w:hAnsi="宋体" w:cs="MingLiU"/>
          <w:b/>
          <w:kern w:val="0"/>
          <w:sz w:val="84"/>
          <w:szCs w:val="84"/>
        </w:rPr>
      </w:pPr>
    </w:p>
    <w:p w14:paraId="3311B4D4">
      <w:pPr>
        <w:tabs>
          <w:tab w:val="left" w:pos="3600"/>
          <w:tab w:val="left" w:pos="4480"/>
          <w:tab w:val="left" w:pos="5360"/>
        </w:tabs>
        <w:autoSpaceDE w:val="0"/>
        <w:autoSpaceDN w:val="0"/>
        <w:adjustRightInd w:val="0"/>
        <w:snapToGrid w:val="0"/>
        <w:spacing w:line="360" w:lineRule="auto"/>
        <w:jc w:val="center"/>
        <w:rPr>
          <w:rFonts w:hint="eastAsia" w:ascii="宋体" w:hAnsi="宋体" w:cs="MingLiU"/>
          <w:b/>
          <w:kern w:val="0"/>
          <w:sz w:val="84"/>
          <w:szCs w:val="84"/>
        </w:rPr>
      </w:pPr>
      <w:r>
        <w:rPr>
          <w:rFonts w:hint="eastAsia" w:ascii="宋体" w:hAnsi="宋体" w:cs="MingLiU"/>
          <w:b/>
          <w:kern w:val="0"/>
          <w:sz w:val="84"/>
          <w:szCs w:val="84"/>
        </w:rPr>
        <w:t>响  应  文  件</w:t>
      </w:r>
    </w:p>
    <w:p w14:paraId="4952ECAD">
      <w:pPr>
        <w:tabs>
          <w:tab w:val="left" w:pos="6080"/>
          <w:tab w:val="left" w:pos="6640"/>
        </w:tabs>
        <w:autoSpaceDE w:val="0"/>
        <w:autoSpaceDN w:val="0"/>
        <w:adjustRightInd w:val="0"/>
        <w:snapToGrid w:val="0"/>
        <w:spacing w:line="360" w:lineRule="auto"/>
        <w:ind w:firstLine="954" w:firstLineChars="343"/>
        <w:rPr>
          <w:rFonts w:hint="eastAsia" w:ascii="宋体" w:hAnsi="宋体" w:cs="MingLiU"/>
          <w:b/>
          <w:w w:val="99"/>
          <w:kern w:val="0"/>
          <w:sz w:val="28"/>
          <w:szCs w:val="28"/>
        </w:rPr>
      </w:pPr>
    </w:p>
    <w:p w14:paraId="0D4E8384">
      <w:pPr>
        <w:tabs>
          <w:tab w:val="left" w:pos="6080"/>
          <w:tab w:val="left" w:pos="6640"/>
        </w:tabs>
        <w:autoSpaceDE w:val="0"/>
        <w:autoSpaceDN w:val="0"/>
        <w:adjustRightInd w:val="0"/>
        <w:snapToGrid w:val="0"/>
        <w:spacing w:line="360" w:lineRule="auto"/>
        <w:ind w:firstLine="954" w:firstLineChars="343"/>
        <w:rPr>
          <w:rFonts w:hint="eastAsia" w:ascii="宋体" w:hAnsi="宋体" w:cs="MingLiU"/>
          <w:b/>
          <w:w w:val="99"/>
          <w:kern w:val="0"/>
          <w:sz w:val="28"/>
          <w:szCs w:val="28"/>
        </w:rPr>
      </w:pPr>
    </w:p>
    <w:p w14:paraId="18180A31">
      <w:pPr>
        <w:tabs>
          <w:tab w:val="left" w:pos="6080"/>
          <w:tab w:val="left" w:pos="6640"/>
        </w:tabs>
        <w:wordWrap w:val="0"/>
        <w:topLinePunct/>
        <w:adjustRightInd w:val="0"/>
        <w:snapToGrid w:val="0"/>
        <w:spacing w:line="360" w:lineRule="auto"/>
        <w:ind w:firstLine="954" w:firstLineChars="343"/>
        <w:rPr>
          <w:rFonts w:hint="eastAsia" w:ascii="宋体" w:hAnsi="宋体" w:cs="MingLiU"/>
          <w:b/>
          <w:w w:val="99"/>
          <w:kern w:val="0"/>
          <w:sz w:val="28"/>
          <w:szCs w:val="28"/>
        </w:rPr>
      </w:pPr>
    </w:p>
    <w:p w14:paraId="6D4BA5DB">
      <w:pPr>
        <w:tabs>
          <w:tab w:val="left" w:pos="6080"/>
          <w:tab w:val="left" w:pos="6640"/>
        </w:tabs>
        <w:wordWrap w:val="0"/>
        <w:topLinePunct/>
        <w:adjustRightInd w:val="0"/>
        <w:snapToGrid w:val="0"/>
        <w:spacing w:line="360" w:lineRule="auto"/>
        <w:rPr>
          <w:rFonts w:hint="eastAsia" w:ascii="宋体" w:hAnsi="宋体" w:cs="MingLiU"/>
          <w:b/>
          <w:w w:val="99"/>
          <w:kern w:val="0"/>
          <w:sz w:val="28"/>
          <w:szCs w:val="28"/>
        </w:rPr>
      </w:pPr>
    </w:p>
    <w:p w14:paraId="0A26BB46">
      <w:pPr>
        <w:tabs>
          <w:tab w:val="left" w:pos="6904"/>
        </w:tabs>
        <w:wordWrap w:val="0"/>
        <w:topLinePunct/>
        <w:adjustRightInd w:val="0"/>
        <w:snapToGrid w:val="0"/>
        <w:spacing w:line="360" w:lineRule="auto"/>
        <w:ind w:firstLine="954" w:firstLineChars="343"/>
        <w:jc w:val="left"/>
        <w:rPr>
          <w:rFonts w:hint="eastAsia" w:ascii="宋体" w:hAnsi="宋体"/>
          <w:b/>
          <w:kern w:val="0"/>
          <w:sz w:val="28"/>
          <w:szCs w:val="28"/>
        </w:rPr>
      </w:pPr>
      <w:r>
        <w:rPr>
          <w:rFonts w:hint="eastAsia" w:ascii="宋体" w:hAnsi="宋体" w:cs="MingLiU"/>
          <w:b/>
          <w:w w:val="99"/>
          <w:kern w:val="0"/>
          <w:sz w:val="28"/>
          <w:szCs w:val="28"/>
        </w:rPr>
        <w:t>项目名称：</w:t>
      </w:r>
      <w:r>
        <w:rPr>
          <w:rFonts w:hint="eastAsia" w:ascii="宋体" w:hAnsi="宋体" w:cs="MingLiU"/>
          <w:b/>
          <w:w w:val="99"/>
          <w:kern w:val="0"/>
          <w:sz w:val="28"/>
          <w:szCs w:val="28"/>
          <w:u w:val="single"/>
        </w:rPr>
        <w:t xml:space="preserve">                           </w:t>
      </w:r>
    </w:p>
    <w:p w14:paraId="0AEB1186">
      <w:pPr>
        <w:tabs>
          <w:tab w:val="left" w:pos="6904"/>
        </w:tabs>
        <w:wordWrap w:val="0"/>
        <w:topLinePunct/>
        <w:adjustRightInd w:val="0"/>
        <w:snapToGrid w:val="0"/>
        <w:spacing w:line="360" w:lineRule="auto"/>
        <w:ind w:firstLine="964" w:firstLineChars="343"/>
        <w:jc w:val="left"/>
        <w:rPr>
          <w:rFonts w:hint="eastAsia" w:ascii="宋体" w:hAnsi="宋体"/>
          <w:b/>
          <w:kern w:val="0"/>
          <w:sz w:val="28"/>
          <w:szCs w:val="28"/>
        </w:rPr>
      </w:pPr>
    </w:p>
    <w:p w14:paraId="770BF1C8">
      <w:pPr>
        <w:tabs>
          <w:tab w:val="left" w:pos="6904"/>
        </w:tabs>
        <w:wordWrap w:val="0"/>
        <w:topLinePunct/>
        <w:adjustRightInd w:val="0"/>
        <w:snapToGrid w:val="0"/>
        <w:spacing w:line="360" w:lineRule="auto"/>
        <w:ind w:firstLine="964" w:firstLineChars="343"/>
        <w:jc w:val="left"/>
        <w:rPr>
          <w:rFonts w:hint="eastAsia" w:ascii="宋体" w:hAnsi="宋体"/>
          <w:b/>
          <w:kern w:val="0"/>
          <w:sz w:val="28"/>
          <w:szCs w:val="28"/>
          <w:u w:val="single"/>
        </w:rPr>
      </w:pPr>
      <w:r>
        <w:rPr>
          <w:rFonts w:hint="eastAsia" w:ascii="宋体" w:hAnsi="宋体"/>
          <w:b/>
          <w:kern w:val="0"/>
          <w:sz w:val="28"/>
          <w:szCs w:val="28"/>
        </w:rPr>
        <w:t>项目编号：</w:t>
      </w:r>
      <w:r>
        <w:rPr>
          <w:rFonts w:hint="eastAsia" w:ascii="宋体" w:hAnsi="宋体"/>
          <w:b/>
          <w:kern w:val="0"/>
          <w:sz w:val="28"/>
          <w:szCs w:val="28"/>
          <w:u w:val="single"/>
        </w:rPr>
        <w:t xml:space="preserve">                           </w:t>
      </w:r>
    </w:p>
    <w:p w14:paraId="20477706">
      <w:pPr>
        <w:tabs>
          <w:tab w:val="left" w:pos="6080"/>
          <w:tab w:val="left" w:pos="6640"/>
        </w:tabs>
        <w:wordWrap w:val="0"/>
        <w:topLinePunct/>
        <w:adjustRightInd w:val="0"/>
        <w:snapToGrid w:val="0"/>
        <w:spacing w:line="360" w:lineRule="auto"/>
        <w:ind w:firstLine="954" w:firstLineChars="343"/>
        <w:rPr>
          <w:rFonts w:hint="eastAsia" w:ascii="宋体" w:hAnsi="宋体" w:cs="MingLiU"/>
          <w:b/>
          <w:w w:val="99"/>
          <w:kern w:val="0"/>
          <w:sz w:val="28"/>
          <w:szCs w:val="28"/>
        </w:rPr>
      </w:pPr>
    </w:p>
    <w:p w14:paraId="70ADF446">
      <w:pPr>
        <w:tabs>
          <w:tab w:val="left" w:pos="6080"/>
          <w:tab w:val="left" w:pos="6640"/>
        </w:tabs>
        <w:wordWrap w:val="0"/>
        <w:topLinePunct/>
        <w:adjustRightInd w:val="0"/>
        <w:snapToGrid w:val="0"/>
        <w:spacing w:line="360" w:lineRule="auto"/>
        <w:ind w:firstLine="954" w:firstLineChars="343"/>
        <w:rPr>
          <w:rFonts w:hint="eastAsia" w:ascii="宋体" w:hAnsi="宋体" w:cs="MingLiU"/>
          <w:b/>
          <w:w w:val="99"/>
          <w:kern w:val="0"/>
          <w:sz w:val="28"/>
          <w:szCs w:val="28"/>
        </w:rPr>
      </w:pPr>
    </w:p>
    <w:p w14:paraId="5C810C20">
      <w:pPr>
        <w:tabs>
          <w:tab w:val="left" w:pos="6080"/>
          <w:tab w:val="left" w:pos="6640"/>
        </w:tabs>
        <w:wordWrap w:val="0"/>
        <w:topLinePunct/>
        <w:adjustRightInd w:val="0"/>
        <w:snapToGrid w:val="0"/>
        <w:spacing w:line="360" w:lineRule="auto"/>
        <w:ind w:firstLine="954" w:firstLineChars="343"/>
        <w:rPr>
          <w:rFonts w:hint="eastAsia" w:ascii="宋体" w:hAnsi="宋体" w:cs="MingLiU"/>
          <w:b/>
          <w:w w:val="99"/>
          <w:kern w:val="0"/>
          <w:sz w:val="28"/>
          <w:szCs w:val="28"/>
        </w:rPr>
      </w:pPr>
    </w:p>
    <w:p w14:paraId="5DBB1AA3">
      <w:pPr>
        <w:tabs>
          <w:tab w:val="left" w:pos="6080"/>
          <w:tab w:val="left" w:pos="6640"/>
        </w:tabs>
        <w:wordWrap w:val="0"/>
        <w:topLinePunct/>
        <w:adjustRightInd w:val="0"/>
        <w:snapToGrid w:val="0"/>
        <w:spacing w:line="360" w:lineRule="auto"/>
        <w:rPr>
          <w:rFonts w:hint="eastAsia" w:ascii="宋体" w:hAnsi="宋体" w:cs="MingLiU"/>
          <w:b/>
          <w:w w:val="99"/>
          <w:kern w:val="0"/>
          <w:sz w:val="28"/>
          <w:szCs w:val="28"/>
        </w:rPr>
      </w:pPr>
    </w:p>
    <w:p w14:paraId="6DF9D872">
      <w:pPr>
        <w:tabs>
          <w:tab w:val="left" w:pos="6080"/>
          <w:tab w:val="left" w:pos="6640"/>
        </w:tabs>
        <w:wordWrap w:val="0"/>
        <w:topLinePunct/>
        <w:adjustRightInd w:val="0"/>
        <w:snapToGrid w:val="0"/>
        <w:spacing w:line="360" w:lineRule="auto"/>
        <w:ind w:firstLine="954" w:firstLineChars="343"/>
        <w:rPr>
          <w:rFonts w:hint="eastAsia" w:ascii="宋体" w:hAnsi="宋体"/>
          <w:b/>
          <w:w w:val="99"/>
          <w:kern w:val="0"/>
          <w:sz w:val="28"/>
          <w:szCs w:val="28"/>
        </w:rPr>
      </w:pPr>
      <w:r>
        <w:rPr>
          <w:rFonts w:hint="eastAsia" w:ascii="宋体" w:hAnsi="宋体" w:cs="MingLiU"/>
          <w:b/>
          <w:w w:val="99"/>
          <w:kern w:val="0"/>
          <w:sz w:val="28"/>
          <w:szCs w:val="28"/>
        </w:rPr>
        <w:t>比选供应商</w:t>
      </w:r>
      <w:r>
        <w:rPr>
          <w:rFonts w:hint="eastAsia" w:ascii="宋体" w:hAnsi="宋体" w:cs="MingLiU"/>
          <w:b/>
          <w:spacing w:val="1"/>
          <w:w w:val="99"/>
          <w:kern w:val="0"/>
          <w:sz w:val="28"/>
          <w:szCs w:val="28"/>
        </w:rPr>
        <w:t>：</w:t>
      </w:r>
      <w:r>
        <w:rPr>
          <w:rFonts w:hint="eastAsia" w:ascii="宋体" w:hAnsi="宋体" w:cs="MingLiU"/>
          <w:b/>
          <w:w w:val="198"/>
          <w:kern w:val="0"/>
          <w:sz w:val="28"/>
          <w:szCs w:val="28"/>
          <w:u w:val="single"/>
        </w:rPr>
        <w:t xml:space="preserve"> 　　   　</w:t>
      </w:r>
      <w:r>
        <w:rPr>
          <w:rFonts w:hint="eastAsia" w:ascii="宋体" w:hAnsi="宋体" w:cs="MingLiU"/>
          <w:b/>
          <w:w w:val="99"/>
          <w:kern w:val="0"/>
          <w:sz w:val="28"/>
          <w:szCs w:val="28"/>
        </w:rPr>
        <w:t>（盖鲜公章）</w:t>
      </w:r>
    </w:p>
    <w:p w14:paraId="24F18992">
      <w:pPr>
        <w:tabs>
          <w:tab w:val="left" w:pos="6080"/>
          <w:tab w:val="left" w:pos="6640"/>
        </w:tabs>
        <w:wordWrap w:val="0"/>
        <w:topLinePunct/>
        <w:adjustRightInd w:val="0"/>
        <w:snapToGrid w:val="0"/>
        <w:spacing w:line="360" w:lineRule="auto"/>
        <w:ind w:firstLine="558"/>
        <w:jc w:val="center"/>
        <w:rPr>
          <w:rFonts w:hint="eastAsia" w:ascii="宋体" w:hAnsi="宋体" w:cs="MingLiU"/>
          <w:b/>
          <w:w w:val="99"/>
          <w:kern w:val="0"/>
          <w:sz w:val="28"/>
          <w:szCs w:val="28"/>
        </w:rPr>
      </w:pPr>
    </w:p>
    <w:p w14:paraId="61377F21">
      <w:pPr>
        <w:tabs>
          <w:tab w:val="left" w:pos="6080"/>
          <w:tab w:val="left" w:pos="6640"/>
        </w:tabs>
        <w:wordWrap w:val="0"/>
        <w:topLinePunct/>
        <w:adjustRightInd w:val="0"/>
        <w:snapToGrid w:val="0"/>
        <w:spacing w:line="360" w:lineRule="auto"/>
        <w:ind w:firstLine="973" w:firstLineChars="350"/>
        <w:rPr>
          <w:rFonts w:hint="eastAsia" w:ascii="宋体" w:hAnsi="宋体" w:cs="MingLiU"/>
          <w:b/>
          <w:kern w:val="0"/>
          <w:sz w:val="28"/>
          <w:szCs w:val="28"/>
        </w:rPr>
      </w:pPr>
      <w:r>
        <w:rPr>
          <w:rFonts w:hint="eastAsia" w:ascii="宋体" w:hAnsi="宋体" w:cs="MingLiU"/>
          <w:b/>
          <w:w w:val="99"/>
          <w:kern w:val="0"/>
          <w:sz w:val="28"/>
          <w:szCs w:val="28"/>
        </w:rPr>
        <w:t>法定代表人（或单位负责人）或其委托代理人：</w:t>
      </w:r>
      <w:r>
        <w:rPr>
          <w:rFonts w:hint="eastAsia" w:ascii="宋体" w:hAnsi="宋体" w:cs="MingLiU"/>
          <w:b/>
          <w:w w:val="198"/>
          <w:kern w:val="0"/>
          <w:sz w:val="28"/>
          <w:szCs w:val="28"/>
          <w:u w:val="single"/>
        </w:rPr>
        <w:t xml:space="preserve"> 　　</w:t>
      </w:r>
      <w:r>
        <w:rPr>
          <w:rFonts w:hint="eastAsia" w:ascii="宋体" w:hAnsi="宋体" w:cs="MingLiU"/>
          <w:b/>
          <w:w w:val="99"/>
          <w:kern w:val="0"/>
          <w:sz w:val="28"/>
          <w:szCs w:val="28"/>
        </w:rPr>
        <w:t>（签字）</w:t>
      </w:r>
    </w:p>
    <w:p w14:paraId="2914EDB5">
      <w:pPr>
        <w:tabs>
          <w:tab w:val="left" w:pos="3280"/>
          <w:tab w:val="left" w:pos="4680"/>
          <w:tab w:val="left" w:pos="6080"/>
        </w:tabs>
        <w:wordWrap w:val="0"/>
        <w:topLinePunct/>
        <w:adjustRightInd w:val="0"/>
        <w:snapToGrid w:val="0"/>
        <w:spacing w:line="360" w:lineRule="auto"/>
        <w:ind w:firstLine="558"/>
        <w:jc w:val="center"/>
        <w:rPr>
          <w:rFonts w:hint="eastAsia" w:ascii="宋体" w:hAnsi="宋体" w:cs="MingLiU"/>
          <w:b/>
          <w:w w:val="99"/>
          <w:kern w:val="0"/>
          <w:sz w:val="28"/>
          <w:szCs w:val="28"/>
          <w:u w:val="single"/>
        </w:rPr>
      </w:pPr>
    </w:p>
    <w:p w14:paraId="22EFEEA1">
      <w:pPr>
        <w:wordWrap w:val="0"/>
        <w:topLinePunct/>
        <w:adjustRightInd w:val="0"/>
        <w:snapToGrid w:val="0"/>
        <w:spacing w:line="400" w:lineRule="exact"/>
        <w:ind w:left="357" w:leftChars="170" w:firstLine="558"/>
        <w:jc w:val="center"/>
        <w:rPr>
          <w:szCs w:val="21"/>
        </w:rPr>
      </w:pPr>
      <w:r>
        <w:rPr>
          <w:rFonts w:hint="eastAsia" w:ascii="宋体" w:hAnsi="宋体" w:cs="MingLiU"/>
          <w:b/>
          <w:w w:val="99"/>
          <w:kern w:val="0"/>
          <w:sz w:val="28"/>
          <w:szCs w:val="28"/>
        </w:rPr>
        <w:t xml:space="preserve">年 </w:t>
      </w:r>
      <w:r>
        <w:rPr>
          <w:rFonts w:ascii="宋体" w:hAnsi="宋体" w:cs="MingLiU"/>
          <w:b/>
          <w:w w:val="99"/>
          <w:kern w:val="0"/>
          <w:sz w:val="28"/>
          <w:szCs w:val="28"/>
        </w:rPr>
        <w:t xml:space="preserve"> </w:t>
      </w:r>
      <w:r>
        <w:rPr>
          <w:rFonts w:hint="eastAsia" w:ascii="宋体" w:hAnsi="宋体" w:cs="MingLiU"/>
          <w:b/>
          <w:w w:val="99"/>
          <w:kern w:val="0"/>
          <w:sz w:val="28"/>
          <w:szCs w:val="28"/>
        </w:rPr>
        <w:t xml:space="preserve">月 </w:t>
      </w:r>
      <w:r>
        <w:rPr>
          <w:rFonts w:ascii="宋体" w:hAnsi="宋体" w:cs="MingLiU"/>
          <w:b/>
          <w:w w:val="99"/>
          <w:kern w:val="0"/>
          <w:sz w:val="28"/>
          <w:szCs w:val="28"/>
        </w:rPr>
        <w:t xml:space="preserve"> </w:t>
      </w:r>
      <w:r>
        <w:rPr>
          <w:rFonts w:hint="eastAsia" w:ascii="宋体" w:hAnsi="宋体" w:cs="MingLiU"/>
          <w:b/>
          <w:w w:val="99"/>
          <w:kern w:val="0"/>
          <w:sz w:val="28"/>
          <w:szCs w:val="28"/>
        </w:rPr>
        <w:t>日</w:t>
      </w:r>
    </w:p>
    <w:p w14:paraId="69A260F7">
      <w:r>
        <w:br w:type="page"/>
      </w:r>
    </w:p>
    <w:p w14:paraId="156ED2B4">
      <w:pPr>
        <w:snapToGrid w:val="0"/>
        <w:spacing w:line="420" w:lineRule="exact"/>
        <w:ind w:firstLine="442" w:firstLineChars="100"/>
        <w:jc w:val="center"/>
        <w:rPr>
          <w:rFonts w:hint="eastAsia" w:ascii="宋体" w:hAnsi="宋体" w:cs="宋体"/>
          <w:b/>
          <w:bCs/>
          <w:sz w:val="44"/>
          <w:szCs w:val="44"/>
        </w:rPr>
      </w:pPr>
      <w:r>
        <w:rPr>
          <w:rFonts w:hint="eastAsia" w:ascii="宋体" w:hAnsi="宋体" w:cs="宋体"/>
          <w:b/>
          <w:bCs/>
          <w:sz w:val="44"/>
          <w:szCs w:val="44"/>
        </w:rPr>
        <w:t>目  录</w:t>
      </w:r>
    </w:p>
    <w:p w14:paraId="5795F73D">
      <w:pPr>
        <w:autoSpaceDE w:val="0"/>
        <w:autoSpaceDN w:val="0"/>
        <w:adjustRightInd w:val="0"/>
        <w:snapToGrid w:val="0"/>
        <w:spacing w:line="400" w:lineRule="exact"/>
        <w:ind w:left="357" w:leftChars="170"/>
        <w:jc w:val="left"/>
        <w:rPr>
          <w:rFonts w:hint="eastAsia" w:ascii="宋体" w:hAnsi="宋体" w:cs="宋体"/>
          <w:snapToGrid w:val="0"/>
          <w:kern w:val="0"/>
          <w:szCs w:val="21"/>
        </w:rPr>
      </w:pPr>
      <w:r>
        <w:rPr>
          <w:rFonts w:hint="eastAsia" w:ascii="宋体" w:hAnsi="宋体" w:cs="宋体"/>
          <w:snapToGrid w:val="0"/>
          <w:kern w:val="0"/>
          <w:szCs w:val="21"/>
        </w:rPr>
        <w:t>（1）竞争性比选函</w:t>
      </w:r>
    </w:p>
    <w:p w14:paraId="2F3AD3AD">
      <w:pPr>
        <w:autoSpaceDE w:val="0"/>
        <w:autoSpaceDN w:val="0"/>
        <w:adjustRightInd w:val="0"/>
        <w:snapToGrid w:val="0"/>
        <w:spacing w:line="400" w:lineRule="exact"/>
        <w:ind w:left="357" w:leftChars="170"/>
        <w:jc w:val="left"/>
        <w:rPr>
          <w:rFonts w:hint="eastAsia" w:ascii="宋体" w:hAnsi="宋体" w:cs="宋体"/>
          <w:snapToGrid w:val="0"/>
          <w:kern w:val="0"/>
          <w:szCs w:val="21"/>
        </w:rPr>
      </w:pPr>
      <w:r>
        <w:rPr>
          <w:rFonts w:hint="eastAsia" w:ascii="宋体" w:hAnsi="宋体" w:cs="宋体"/>
          <w:snapToGrid w:val="0"/>
          <w:kern w:val="0"/>
          <w:szCs w:val="21"/>
        </w:rPr>
        <w:t>（2）法定代表人</w:t>
      </w:r>
      <w:r>
        <w:rPr>
          <w:rFonts w:hint="eastAsia" w:ascii="宋体" w:hAnsi="宋体" w:cs="宋体"/>
          <w:szCs w:val="21"/>
        </w:rPr>
        <w:t>（或单位负责人）</w:t>
      </w:r>
      <w:r>
        <w:rPr>
          <w:rFonts w:hint="eastAsia" w:ascii="宋体" w:hAnsi="宋体" w:cs="宋体"/>
          <w:snapToGrid w:val="0"/>
          <w:kern w:val="0"/>
          <w:szCs w:val="21"/>
        </w:rPr>
        <w:t>身份证明及授权委托书</w:t>
      </w:r>
    </w:p>
    <w:p w14:paraId="7ED758A1">
      <w:pPr>
        <w:autoSpaceDE w:val="0"/>
        <w:autoSpaceDN w:val="0"/>
        <w:adjustRightInd w:val="0"/>
        <w:snapToGrid w:val="0"/>
        <w:spacing w:line="400" w:lineRule="exact"/>
        <w:ind w:left="357" w:leftChars="170"/>
        <w:jc w:val="left"/>
        <w:rPr>
          <w:rFonts w:hint="eastAsia" w:ascii="宋体" w:hAnsi="宋体" w:cs="宋体"/>
          <w:snapToGrid w:val="0"/>
          <w:kern w:val="0"/>
          <w:szCs w:val="21"/>
        </w:rPr>
      </w:pPr>
      <w:r>
        <w:rPr>
          <w:rFonts w:hint="eastAsia" w:ascii="宋体" w:hAnsi="宋体" w:cs="宋体"/>
          <w:snapToGrid w:val="0"/>
          <w:kern w:val="0"/>
          <w:szCs w:val="21"/>
        </w:rPr>
        <w:t>（3）比选保证金</w:t>
      </w:r>
    </w:p>
    <w:p w14:paraId="26700EF4">
      <w:pPr>
        <w:autoSpaceDE w:val="0"/>
        <w:autoSpaceDN w:val="0"/>
        <w:adjustRightInd w:val="0"/>
        <w:snapToGrid w:val="0"/>
        <w:spacing w:line="400" w:lineRule="exact"/>
        <w:ind w:left="357" w:leftChars="170"/>
        <w:jc w:val="left"/>
        <w:rPr>
          <w:rFonts w:hint="eastAsia" w:ascii="宋体" w:hAnsi="宋体" w:cs="宋体"/>
          <w:snapToGrid w:val="0"/>
          <w:kern w:val="0"/>
          <w:szCs w:val="21"/>
        </w:rPr>
      </w:pPr>
      <w:r>
        <w:rPr>
          <w:rFonts w:hint="eastAsia" w:ascii="宋体" w:hAnsi="宋体" w:cs="宋体"/>
          <w:snapToGrid w:val="0"/>
          <w:kern w:val="0"/>
          <w:szCs w:val="21"/>
        </w:rPr>
        <w:t>（4）报价明细表</w:t>
      </w:r>
    </w:p>
    <w:p w14:paraId="33FA60DC">
      <w:pPr>
        <w:autoSpaceDE w:val="0"/>
        <w:autoSpaceDN w:val="0"/>
        <w:adjustRightInd w:val="0"/>
        <w:snapToGrid w:val="0"/>
        <w:spacing w:line="400" w:lineRule="exact"/>
        <w:ind w:left="357" w:leftChars="170"/>
        <w:jc w:val="left"/>
        <w:rPr>
          <w:rFonts w:hint="eastAsia" w:ascii="宋体" w:hAnsi="宋体" w:cs="宋体"/>
        </w:rPr>
      </w:pPr>
      <w:r>
        <w:rPr>
          <w:rFonts w:hint="eastAsia" w:ascii="宋体" w:hAnsi="宋体" w:cs="宋体"/>
        </w:rPr>
        <w:t>（5）</w:t>
      </w:r>
      <w:r>
        <w:rPr>
          <w:rFonts w:hint="eastAsia" w:ascii="宋体" w:hAnsi="宋体" w:cs="宋体"/>
          <w:snapToGrid w:val="0"/>
          <w:kern w:val="0"/>
          <w:szCs w:val="21"/>
        </w:rPr>
        <w:t>比选供应商应提供的各类证明材料</w:t>
      </w:r>
    </w:p>
    <w:p w14:paraId="2762B6EF">
      <w:pPr>
        <w:autoSpaceDE w:val="0"/>
        <w:autoSpaceDN w:val="0"/>
        <w:adjustRightInd w:val="0"/>
        <w:snapToGrid w:val="0"/>
        <w:spacing w:line="400" w:lineRule="exact"/>
        <w:ind w:left="357" w:leftChars="170"/>
        <w:jc w:val="left"/>
        <w:rPr>
          <w:rFonts w:hint="eastAsia" w:ascii="宋体" w:hAnsi="宋体" w:cs="宋体"/>
          <w:snapToGrid w:val="0"/>
          <w:kern w:val="0"/>
          <w:szCs w:val="21"/>
        </w:rPr>
      </w:pPr>
      <w:r>
        <w:rPr>
          <w:rFonts w:hint="eastAsia" w:ascii="宋体" w:hAnsi="宋体" w:cs="宋体"/>
          <w:snapToGrid w:val="0"/>
          <w:kern w:val="0"/>
          <w:szCs w:val="21"/>
        </w:rPr>
        <w:t>（6）比选供应商须知前附表规定的其他资料或比选供应商认为需要提供相应承诺及其他资料</w:t>
      </w:r>
    </w:p>
    <w:p w14:paraId="1110AE97">
      <w:pPr>
        <w:pStyle w:val="43"/>
        <w:rPr>
          <w:rFonts w:hint="eastAsia"/>
        </w:rPr>
      </w:pPr>
      <w:r>
        <w:rPr>
          <w:rFonts w:hint="eastAsia"/>
        </w:rPr>
        <w:br w:type="page"/>
      </w:r>
    </w:p>
    <w:p w14:paraId="4806A06F">
      <w:pPr>
        <w:autoSpaceDE w:val="0"/>
        <w:autoSpaceDN w:val="0"/>
        <w:adjustRightInd w:val="0"/>
        <w:snapToGrid w:val="0"/>
        <w:spacing w:line="360" w:lineRule="auto"/>
        <w:outlineLvl w:val="1"/>
        <w:rPr>
          <w:rFonts w:hint="eastAsia" w:ascii="宋体" w:hAnsi="宋体"/>
          <w:b/>
          <w:bCs/>
          <w:spacing w:val="1"/>
          <w:w w:val="99"/>
          <w:kern w:val="0"/>
          <w:sz w:val="28"/>
          <w:szCs w:val="28"/>
        </w:rPr>
      </w:pPr>
      <w:bookmarkStart w:id="793" w:name="_Toc16314"/>
      <w:bookmarkStart w:id="794" w:name="_Toc4009"/>
      <w:bookmarkStart w:id="795" w:name="_Toc24172"/>
      <w:bookmarkStart w:id="796" w:name="_Toc22742"/>
      <w:r>
        <w:rPr>
          <w:rFonts w:hint="eastAsia" w:ascii="宋体" w:hAnsi="宋体"/>
          <w:b/>
          <w:bCs/>
          <w:spacing w:val="1"/>
          <w:w w:val="99"/>
          <w:kern w:val="0"/>
          <w:sz w:val="28"/>
          <w:szCs w:val="28"/>
        </w:rPr>
        <w:t>（1）竞争性比选函</w:t>
      </w:r>
      <w:bookmarkEnd w:id="793"/>
      <w:bookmarkEnd w:id="794"/>
      <w:bookmarkEnd w:id="795"/>
      <w:bookmarkEnd w:id="796"/>
    </w:p>
    <w:p w14:paraId="4145AA66">
      <w:pPr>
        <w:spacing w:line="420" w:lineRule="exact"/>
        <w:jc w:val="center"/>
        <w:rPr>
          <w:rFonts w:hint="eastAsia" w:ascii="宋体" w:hAnsi="宋体"/>
          <w:b/>
          <w:sz w:val="32"/>
          <w:szCs w:val="32"/>
        </w:rPr>
      </w:pPr>
      <w:r>
        <w:rPr>
          <w:rFonts w:hint="eastAsia" w:ascii="宋体" w:hAnsi="宋体"/>
          <w:b/>
          <w:sz w:val="32"/>
          <w:szCs w:val="32"/>
        </w:rPr>
        <w:t>竞争性比选函</w:t>
      </w:r>
    </w:p>
    <w:p w14:paraId="28A6F05C">
      <w:pPr>
        <w:adjustRightInd w:val="0"/>
        <w:snapToGrid w:val="0"/>
        <w:spacing w:line="420" w:lineRule="exact"/>
        <w:rPr>
          <w:rFonts w:hint="eastAsia" w:ascii="宋体" w:hAnsi="宋体" w:cs="宋体"/>
          <w:u w:val="single"/>
        </w:rPr>
      </w:pPr>
      <w:r>
        <w:rPr>
          <w:rFonts w:hint="eastAsia" w:ascii="宋体" w:hAnsi="宋体" w:cs="宋体"/>
        </w:rPr>
        <w:t>致：</w:t>
      </w:r>
      <w:r>
        <w:rPr>
          <w:rFonts w:hint="eastAsia" w:ascii="宋体" w:hAnsi="宋体" w:cs="宋体"/>
          <w:u w:val="single"/>
        </w:rPr>
        <w:t xml:space="preserve">      （比选人）    </w:t>
      </w:r>
    </w:p>
    <w:p w14:paraId="275FC314">
      <w:pPr>
        <w:adjustRightInd w:val="0"/>
        <w:snapToGrid w:val="0"/>
        <w:spacing w:line="420" w:lineRule="exact"/>
        <w:ind w:firstLine="420" w:firstLineChars="200"/>
        <w:rPr>
          <w:rFonts w:hint="eastAsia" w:ascii="宋体" w:hAnsi="宋体" w:cs="宋体"/>
        </w:rPr>
      </w:pPr>
      <w:r>
        <w:rPr>
          <w:rFonts w:hint="eastAsia" w:ascii="宋体" w:hAnsi="宋体" w:cs="宋体"/>
        </w:rPr>
        <w:t>我单位根据已收到</w:t>
      </w:r>
      <w:r>
        <w:rPr>
          <w:rFonts w:hint="eastAsia" w:ascii="宋体" w:hAnsi="宋体" w:cs="宋体"/>
          <w:u w:val="single"/>
        </w:rPr>
        <w:t xml:space="preserve">   （项目名称） </w:t>
      </w:r>
      <w:r>
        <w:rPr>
          <w:rFonts w:hint="eastAsia" w:ascii="宋体" w:hAnsi="宋体" w:cs="宋体"/>
        </w:rPr>
        <w:t xml:space="preserve"> 的比选文件及有关资料，并已充分理解了该比选文件的全部内容，经我单位研究决定，我单位的</w:t>
      </w:r>
      <w:r>
        <w:rPr>
          <w:rFonts w:hint="eastAsia" w:ascii="宋体" w:hAnsi="宋体" w:cs="宋体"/>
          <w:kern w:val="0"/>
          <w:szCs w:val="21"/>
        </w:rPr>
        <w:t>初始报价（总价）为人民币小写：</w:t>
      </w:r>
      <w:r>
        <w:rPr>
          <w:rFonts w:hint="eastAsia" w:ascii="宋体" w:hAnsi="宋体" w:cs="宋体"/>
          <w:kern w:val="0"/>
          <w:szCs w:val="21"/>
          <w:u w:val="single"/>
        </w:rPr>
        <w:t xml:space="preserve">      </w:t>
      </w:r>
      <w:r>
        <w:rPr>
          <w:rFonts w:hint="eastAsia" w:ascii="宋体" w:hAnsi="宋体" w:cs="宋体"/>
          <w:kern w:val="0"/>
          <w:szCs w:val="21"/>
        </w:rPr>
        <w:t>元，人民币大写：</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cs="宋体"/>
          <w:szCs w:val="21"/>
        </w:rPr>
        <w:t>交货期为</w:t>
      </w:r>
      <w:r>
        <w:rPr>
          <w:rFonts w:hint="eastAsia" w:ascii="宋体" w:hAnsi="宋体" w:cs="宋体"/>
          <w:szCs w:val="21"/>
          <w:u w:val="single"/>
          <w:lang w:eastAsia="zh-CN"/>
        </w:rPr>
        <w:t>合同签订后，且中选人收到预付款后20个日历天内完成装修、设备交货并完成安装调试</w:t>
      </w:r>
      <w:r>
        <w:rPr>
          <w:rFonts w:hint="eastAsia" w:ascii="宋体" w:hAnsi="宋体" w:cs="宋体"/>
          <w:szCs w:val="21"/>
        </w:rPr>
        <w:t>，交货地点：</w:t>
      </w:r>
      <w:r>
        <w:rPr>
          <w:rFonts w:hint="eastAsia" w:ascii="宋体" w:hAnsi="宋体" w:cs="宋体"/>
          <w:szCs w:val="21"/>
          <w:u w:val="single"/>
        </w:rPr>
        <w:t>重庆市巴南区界石镇东城大道588号重庆理工职业学院内</w:t>
      </w:r>
      <w:r>
        <w:rPr>
          <w:rFonts w:hint="eastAsia" w:ascii="宋体" w:hAnsi="宋体" w:cs="宋体"/>
          <w:szCs w:val="21"/>
        </w:rPr>
        <w:t>，质量要求</w:t>
      </w:r>
      <w:r>
        <w:rPr>
          <w:rFonts w:hint="eastAsia" w:ascii="宋体" w:hAnsi="宋体" w:cs="宋体"/>
          <w:szCs w:val="21"/>
          <w:highlight w:val="none"/>
        </w:rPr>
        <w:t>：</w:t>
      </w:r>
      <w:r>
        <w:rPr>
          <w:rFonts w:hint="eastAsia" w:ascii="宋体" w:hAnsi="宋体" w:cs="宋体"/>
          <w:bCs/>
          <w:szCs w:val="21"/>
          <w:highlight w:val="none"/>
          <w:u w:val="single"/>
        </w:rPr>
        <w:t>产品应为全新产品，附带产品合格证及保修书并符合国家相关质量标准、产品出厂标准以及合同中约定的规格、配置与性能要求</w:t>
      </w:r>
      <w:r>
        <w:rPr>
          <w:rFonts w:hint="eastAsia" w:ascii="宋体" w:hAnsi="宋体" w:cs="宋体"/>
          <w:bCs/>
          <w:szCs w:val="21"/>
          <w:highlight w:val="none"/>
        </w:rPr>
        <w:t>。</w:t>
      </w:r>
      <w:r>
        <w:rPr>
          <w:rFonts w:hint="eastAsia" w:ascii="宋体" w:hAnsi="宋体" w:cs="宋体"/>
          <w:highlight w:val="none"/>
        </w:rPr>
        <w:t>最终</w:t>
      </w:r>
      <w:r>
        <w:rPr>
          <w:rFonts w:hint="eastAsia" w:ascii="宋体" w:hAnsi="宋体" w:cs="宋体"/>
        </w:rPr>
        <w:t>以我公司最后报价为准。为此，我单位就以下内容分别做出承诺：</w:t>
      </w:r>
    </w:p>
    <w:p w14:paraId="1FCB9EF3">
      <w:pPr>
        <w:tabs>
          <w:tab w:val="left" w:pos="1110"/>
        </w:tabs>
        <w:snapToGrid w:val="0"/>
        <w:spacing w:line="420" w:lineRule="exact"/>
        <w:ind w:firstLine="315" w:firstLineChars="150"/>
        <w:rPr>
          <w:rFonts w:hint="eastAsia" w:ascii="宋体" w:hAnsi="宋体" w:cs="宋体"/>
        </w:rPr>
      </w:pPr>
      <w:r>
        <w:rPr>
          <w:rFonts w:hint="eastAsia" w:ascii="宋体" w:hAnsi="宋体" w:cs="宋体"/>
        </w:rPr>
        <w:t>（1）按比选文件前附表的要求，提供的全部响应文件（包括正本1份，副本1份）。</w:t>
      </w:r>
    </w:p>
    <w:p w14:paraId="619D8B18">
      <w:pPr>
        <w:adjustRightInd w:val="0"/>
        <w:snapToGrid w:val="0"/>
        <w:spacing w:line="420" w:lineRule="exact"/>
        <w:ind w:firstLine="315" w:firstLineChars="150"/>
        <w:rPr>
          <w:rFonts w:hint="eastAsia" w:ascii="宋体" w:hAnsi="宋体" w:cs="宋体"/>
        </w:rPr>
      </w:pPr>
      <w:r>
        <w:rPr>
          <w:rFonts w:hint="eastAsia" w:ascii="宋体" w:hAnsi="宋体" w:cs="宋体"/>
        </w:rPr>
        <w:t>（2） 我单位已详细审查全部比选文件，包括修改文件（如有的话）以及全部参考资料和有关附件，我们完全理解上述文件的内容并同意放弃对上述文件的内容有不明及误解的追究权利。</w:t>
      </w:r>
    </w:p>
    <w:p w14:paraId="73EE081C">
      <w:pPr>
        <w:adjustRightInd w:val="0"/>
        <w:snapToGrid w:val="0"/>
        <w:spacing w:line="420" w:lineRule="exact"/>
        <w:ind w:firstLine="315" w:firstLineChars="150"/>
        <w:rPr>
          <w:rFonts w:hint="eastAsia" w:ascii="宋体" w:hAnsi="宋体" w:cs="宋体"/>
        </w:rPr>
      </w:pPr>
      <w:r>
        <w:rPr>
          <w:rFonts w:hint="eastAsia" w:ascii="宋体" w:hAnsi="宋体" w:cs="宋体"/>
        </w:rPr>
        <w:t>（3）我单位承诺我们的响应文件中有关资格资信的证明文件、商务文件及相关陈述全部是真实的准确的，若有违背，我单位将承担由此造成的一切后果。</w:t>
      </w:r>
    </w:p>
    <w:p w14:paraId="0DBA05B3">
      <w:pPr>
        <w:adjustRightInd w:val="0"/>
        <w:snapToGrid w:val="0"/>
        <w:spacing w:line="420" w:lineRule="exact"/>
        <w:ind w:firstLine="315" w:firstLineChars="150"/>
        <w:rPr>
          <w:rFonts w:hint="eastAsia" w:ascii="宋体" w:hAnsi="宋体" w:cs="宋体"/>
        </w:rPr>
      </w:pPr>
      <w:r>
        <w:rPr>
          <w:rFonts w:hint="eastAsia" w:ascii="宋体" w:hAnsi="宋体" w:cs="宋体"/>
        </w:rPr>
        <w:t>（4）如果我单位中选，我单位保证在比选人规定时间内相关服务满足比选文件要求。</w:t>
      </w:r>
    </w:p>
    <w:p w14:paraId="34794A51">
      <w:pPr>
        <w:adjustRightInd w:val="0"/>
        <w:snapToGrid w:val="0"/>
        <w:spacing w:line="420" w:lineRule="exact"/>
        <w:ind w:firstLine="315" w:firstLineChars="150"/>
        <w:rPr>
          <w:rFonts w:hint="eastAsia" w:ascii="宋体" w:hAnsi="宋体" w:cs="宋体"/>
        </w:rPr>
      </w:pPr>
      <w:r>
        <w:rPr>
          <w:rFonts w:hint="eastAsia" w:ascii="宋体" w:hAnsi="宋体" w:cs="宋体"/>
        </w:rPr>
        <w:t>（5）</w:t>
      </w:r>
      <w:bookmarkStart w:id="797" w:name="_Hlk157980642"/>
      <w:r>
        <w:rPr>
          <w:rFonts w:hint="eastAsia" w:ascii="宋体" w:hAnsi="宋体" w:cs="宋体"/>
        </w:rPr>
        <w:t>如果我们中选，我们将在签订合同前提供合同要求的履约保证金，并保证忠实地执行双方所签的合同，承担合同规定的责任和义务。</w:t>
      </w:r>
      <w:bookmarkEnd w:id="797"/>
    </w:p>
    <w:p w14:paraId="2C24D84C">
      <w:pPr>
        <w:adjustRightInd w:val="0"/>
        <w:snapToGrid w:val="0"/>
        <w:spacing w:line="420" w:lineRule="exact"/>
        <w:ind w:firstLine="315" w:firstLineChars="150"/>
        <w:rPr>
          <w:rFonts w:hint="eastAsia" w:ascii="宋体" w:hAnsi="宋体" w:cs="宋体"/>
        </w:rPr>
      </w:pPr>
      <w:r>
        <w:rPr>
          <w:rFonts w:hint="eastAsia" w:ascii="宋体" w:hAnsi="宋体" w:cs="宋体"/>
        </w:rPr>
        <w:t>（6）我单位的比选有效期为：自比选之日起</w:t>
      </w:r>
      <w:r>
        <w:rPr>
          <w:rFonts w:hint="eastAsia" w:ascii="宋体" w:hAnsi="宋体" w:cs="宋体"/>
          <w:u w:val="single"/>
        </w:rPr>
        <w:t>90</w:t>
      </w:r>
      <w:r>
        <w:rPr>
          <w:rFonts w:hint="eastAsia" w:ascii="宋体" w:hAnsi="宋体" w:cs="宋体"/>
        </w:rPr>
        <w:t>个日历日。</w:t>
      </w:r>
    </w:p>
    <w:p w14:paraId="1C8AB168">
      <w:pPr>
        <w:adjustRightInd w:val="0"/>
        <w:snapToGrid w:val="0"/>
        <w:spacing w:line="420" w:lineRule="exact"/>
        <w:ind w:firstLine="315" w:firstLineChars="150"/>
        <w:rPr>
          <w:rFonts w:hint="eastAsia" w:ascii="宋体" w:hAnsi="宋体" w:cs="宋体"/>
        </w:rPr>
      </w:pPr>
      <w:r>
        <w:rPr>
          <w:rFonts w:hint="eastAsia" w:ascii="宋体" w:hAnsi="宋体" w:cs="宋体"/>
        </w:rPr>
        <w:t>（7）若我单位中选，我单位将按比选文件的规定履行合同责任和义务。</w:t>
      </w:r>
    </w:p>
    <w:p w14:paraId="0FC49570">
      <w:pPr>
        <w:adjustRightInd w:val="0"/>
        <w:snapToGrid w:val="0"/>
        <w:spacing w:line="420" w:lineRule="exact"/>
        <w:ind w:firstLine="315" w:firstLineChars="150"/>
        <w:rPr>
          <w:rFonts w:hint="eastAsia" w:ascii="宋体" w:hAnsi="宋体" w:cs="宋体"/>
        </w:rPr>
      </w:pPr>
      <w:r>
        <w:rPr>
          <w:rFonts w:hint="eastAsia" w:ascii="宋体" w:hAnsi="宋体" w:cs="宋体"/>
        </w:rPr>
        <w:t>（8）若我单位中选，我单位将接受比选人的相关管理要求。</w:t>
      </w:r>
    </w:p>
    <w:p w14:paraId="03A59513">
      <w:pPr>
        <w:adjustRightInd w:val="0"/>
        <w:snapToGrid w:val="0"/>
        <w:spacing w:line="420" w:lineRule="exact"/>
        <w:ind w:firstLine="315" w:firstLineChars="150"/>
        <w:rPr>
          <w:rFonts w:hint="eastAsia" w:ascii="宋体" w:hAnsi="宋体" w:cs="宋体"/>
        </w:rPr>
      </w:pPr>
      <w:r>
        <w:rPr>
          <w:rFonts w:hint="eastAsia" w:ascii="宋体" w:hAnsi="宋体" w:cs="宋体"/>
        </w:rPr>
        <w:t>（9）若我单位中选，我们保证按比选文件要求，将比选代理服务费付给比选代理公司。</w:t>
      </w:r>
    </w:p>
    <w:p w14:paraId="0254B3E7">
      <w:pPr>
        <w:adjustRightInd w:val="0"/>
        <w:snapToGrid w:val="0"/>
        <w:spacing w:line="420" w:lineRule="exact"/>
        <w:ind w:firstLine="315" w:firstLineChars="150"/>
        <w:rPr>
          <w:rFonts w:hint="eastAsia" w:ascii="宋体" w:hAnsi="宋体" w:cs="宋体"/>
        </w:rPr>
      </w:pPr>
      <w:r>
        <w:rPr>
          <w:rFonts w:hint="eastAsia" w:ascii="宋体" w:hAnsi="宋体" w:cs="宋体"/>
        </w:rPr>
        <w:t>（10）如果在比选截止后，我单位在比选有效期内撤回比选，同意贵方不退还我单位的比选保证金。</w:t>
      </w:r>
    </w:p>
    <w:p w14:paraId="068648AA">
      <w:pPr>
        <w:adjustRightInd w:val="0"/>
        <w:snapToGrid w:val="0"/>
        <w:spacing w:line="420" w:lineRule="exact"/>
        <w:ind w:firstLine="315" w:firstLineChars="150"/>
        <w:rPr>
          <w:rFonts w:hint="eastAsia" w:ascii="宋体" w:hAnsi="宋体" w:cs="宋体"/>
        </w:rPr>
      </w:pPr>
      <w:r>
        <w:rPr>
          <w:rFonts w:hint="eastAsia" w:ascii="宋体" w:hAnsi="宋体" w:cs="宋体"/>
        </w:rPr>
        <w:t>（11）</w:t>
      </w:r>
      <w:r>
        <w:rPr>
          <w:rFonts w:hint="eastAsia" w:ascii="宋体" w:hAnsi="宋体" w:cs="宋体"/>
          <w:u w:val="single"/>
        </w:rPr>
        <w:t xml:space="preserve">   </w:t>
      </w:r>
      <w:r>
        <w:rPr>
          <w:rFonts w:hint="eastAsia" w:ascii="宋体" w:hAnsi="宋体" w:cs="宋体"/>
          <w:snapToGrid w:val="0"/>
          <w:kern w:val="0"/>
          <w:szCs w:val="21"/>
          <w:u w:val="single"/>
        </w:rPr>
        <w:t xml:space="preserve">（其他补充说明）     </w:t>
      </w:r>
      <w:r>
        <w:rPr>
          <w:rFonts w:hint="eastAsia" w:ascii="宋体" w:hAnsi="宋体" w:cs="宋体"/>
        </w:rPr>
        <w:t>。</w:t>
      </w:r>
    </w:p>
    <w:p w14:paraId="689E4786">
      <w:pPr>
        <w:wordWrap w:val="0"/>
        <w:topLinePunct/>
        <w:adjustRightInd w:val="0"/>
        <w:snapToGrid w:val="0"/>
        <w:spacing w:line="420" w:lineRule="exact"/>
        <w:ind w:firstLine="420" w:firstLineChars="200"/>
        <w:rPr>
          <w:rFonts w:hint="eastAsia" w:ascii="宋体" w:hAnsi="宋体" w:cs="宋体"/>
        </w:rPr>
      </w:pPr>
    </w:p>
    <w:p w14:paraId="1B2ABF22">
      <w:pPr>
        <w:wordWrap w:val="0"/>
        <w:topLinePunct/>
        <w:adjustRightInd w:val="0"/>
        <w:snapToGrid w:val="0"/>
        <w:spacing w:line="420" w:lineRule="exact"/>
        <w:ind w:firstLine="420" w:firstLineChars="200"/>
        <w:rPr>
          <w:rFonts w:hint="eastAsia" w:ascii="宋体" w:hAnsi="宋体" w:cs="宋体"/>
        </w:rPr>
      </w:pPr>
      <w:r>
        <w:rPr>
          <w:rFonts w:hint="eastAsia" w:ascii="宋体" w:hAnsi="宋体" w:cs="宋体"/>
        </w:rPr>
        <w:t>比选供应商：</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rPr>
        <w:t>（盖鲜公章）</w:t>
      </w:r>
    </w:p>
    <w:p w14:paraId="51F32F47">
      <w:pPr>
        <w:wordWrap w:val="0"/>
        <w:topLinePunct/>
        <w:adjustRightInd w:val="0"/>
        <w:snapToGrid w:val="0"/>
        <w:spacing w:line="420" w:lineRule="exact"/>
        <w:ind w:firstLine="420" w:firstLineChars="200"/>
        <w:rPr>
          <w:rFonts w:hint="eastAsia" w:ascii="宋体" w:hAnsi="宋体" w:cs="宋体"/>
        </w:rPr>
      </w:pPr>
      <w:r>
        <w:rPr>
          <w:rFonts w:hint="eastAsia" w:ascii="宋体" w:hAnsi="宋体" w:cs="宋体"/>
        </w:rPr>
        <w:t>法定代表人（或单位负责人）或其授权委托人：</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rPr>
        <w:t>（签字）</w:t>
      </w:r>
    </w:p>
    <w:p w14:paraId="79698BE9">
      <w:pPr>
        <w:wordWrap w:val="0"/>
        <w:topLinePunct/>
        <w:adjustRightInd w:val="0"/>
        <w:snapToGrid w:val="0"/>
        <w:spacing w:line="420" w:lineRule="exact"/>
        <w:ind w:firstLine="420" w:firstLineChars="200"/>
        <w:rPr>
          <w:rFonts w:hint="eastAsia" w:ascii="宋体" w:hAnsi="宋体" w:cs="宋体"/>
        </w:rPr>
      </w:pPr>
      <w:r>
        <w:rPr>
          <w:rFonts w:hint="eastAsia" w:ascii="宋体" w:hAnsi="宋体" w:cs="宋体"/>
        </w:rPr>
        <w:t>日期：</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u w:val="single"/>
        </w:rPr>
        <w:t xml:space="preserve"> </w:t>
      </w:r>
      <w:r>
        <w:rPr>
          <w:rFonts w:ascii="宋体" w:hAnsi="宋体" w:cs="宋体"/>
          <w:u w:val="single"/>
        </w:rPr>
        <w:t xml:space="preserve">      </w:t>
      </w:r>
    </w:p>
    <w:p w14:paraId="612950AB">
      <w:pPr>
        <w:wordWrap w:val="0"/>
        <w:topLinePunct/>
        <w:adjustRightInd w:val="0"/>
        <w:snapToGrid w:val="0"/>
        <w:spacing w:line="420" w:lineRule="exact"/>
        <w:ind w:firstLine="420" w:firstLineChars="200"/>
        <w:rPr>
          <w:rFonts w:hint="eastAsia" w:ascii="宋体" w:hAnsi="宋体" w:cs="宋体"/>
          <w:u w:val="single"/>
        </w:rPr>
      </w:pPr>
      <w:r>
        <w:rPr>
          <w:rFonts w:hint="eastAsia" w:ascii="宋体" w:hAnsi="宋体" w:cs="宋体"/>
        </w:rPr>
        <w:t>地址：</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u w:val="single"/>
        </w:rPr>
        <w:t xml:space="preserve"> </w:t>
      </w:r>
      <w:r>
        <w:rPr>
          <w:rFonts w:ascii="宋体" w:hAnsi="宋体" w:cs="宋体"/>
          <w:u w:val="single"/>
        </w:rPr>
        <w:t xml:space="preserve">      </w:t>
      </w:r>
    </w:p>
    <w:p w14:paraId="0908A709">
      <w:pPr>
        <w:wordWrap w:val="0"/>
        <w:topLinePunct/>
        <w:snapToGrid w:val="0"/>
        <w:spacing w:line="440" w:lineRule="atLeast"/>
        <w:ind w:firstLine="420" w:firstLineChars="200"/>
        <w:rPr>
          <w:rFonts w:ascii="宋体"/>
          <w:szCs w:val="21"/>
        </w:rPr>
      </w:pPr>
      <w:r>
        <w:rPr>
          <w:rFonts w:hint="eastAsia" w:ascii="宋体" w:hAnsi="宋体" w:cs="宋体"/>
          <w:szCs w:val="21"/>
        </w:rPr>
        <w:t>邮编：</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电话：</w:t>
      </w:r>
      <w:r>
        <w:rPr>
          <w:rFonts w:hint="eastAsia" w:ascii="宋体" w:hAnsi="宋体" w:cs="宋体"/>
          <w:u w:val="single"/>
        </w:rPr>
        <w:t xml:space="preserve"> </w:t>
      </w:r>
      <w:r>
        <w:rPr>
          <w:rFonts w:ascii="宋体" w:hAnsi="宋体" w:cs="宋体"/>
          <w:u w:val="single"/>
        </w:rPr>
        <w:t xml:space="preserve">      </w:t>
      </w:r>
      <w:r>
        <w:rPr>
          <w:rFonts w:ascii="宋体" w:hAnsi="宋体" w:cs="宋体"/>
          <w:szCs w:val="21"/>
        </w:rPr>
        <w:t xml:space="preserve">  </w:t>
      </w:r>
      <w:r>
        <w:rPr>
          <w:rFonts w:hint="eastAsia" w:ascii="宋体" w:hAnsi="宋体" w:cs="宋体"/>
          <w:szCs w:val="21"/>
        </w:rPr>
        <w:t>传真：</w:t>
      </w:r>
      <w:r>
        <w:rPr>
          <w:rFonts w:hint="eastAsia" w:ascii="宋体" w:hAnsi="宋体" w:cs="宋体"/>
          <w:u w:val="single"/>
        </w:rPr>
        <w:t xml:space="preserve"> </w:t>
      </w:r>
      <w:r>
        <w:rPr>
          <w:rFonts w:ascii="宋体" w:hAnsi="宋体" w:cs="宋体"/>
          <w:u w:val="single"/>
        </w:rPr>
        <w:t xml:space="preserve">      </w:t>
      </w:r>
    </w:p>
    <w:p w14:paraId="2BFCC1DD">
      <w:r>
        <w:br w:type="page"/>
      </w:r>
    </w:p>
    <w:p w14:paraId="1AA5FA9A"/>
    <w:p w14:paraId="6C8BAC13">
      <w:pPr>
        <w:pStyle w:val="43"/>
      </w:pPr>
    </w:p>
    <w:p w14:paraId="455555B4">
      <w:pPr>
        <w:autoSpaceDE w:val="0"/>
        <w:autoSpaceDN w:val="0"/>
        <w:adjustRightInd w:val="0"/>
        <w:snapToGrid w:val="0"/>
        <w:spacing w:line="360" w:lineRule="auto"/>
        <w:outlineLvl w:val="1"/>
        <w:rPr>
          <w:rFonts w:hint="eastAsia" w:ascii="宋体" w:hAnsi="宋体"/>
          <w:b/>
          <w:bCs/>
          <w:spacing w:val="1"/>
          <w:w w:val="99"/>
          <w:kern w:val="0"/>
          <w:sz w:val="28"/>
          <w:szCs w:val="28"/>
        </w:rPr>
      </w:pPr>
      <w:bookmarkStart w:id="798" w:name="_Toc318"/>
      <w:bookmarkStart w:id="799" w:name="_Toc25899"/>
      <w:bookmarkStart w:id="800" w:name="_Toc19706"/>
      <w:bookmarkStart w:id="801" w:name="_Toc6499"/>
      <w:r>
        <w:rPr>
          <w:rFonts w:hint="eastAsia" w:ascii="宋体" w:hAnsi="宋体"/>
          <w:b/>
          <w:bCs/>
          <w:spacing w:val="1"/>
          <w:w w:val="99"/>
          <w:kern w:val="0"/>
          <w:sz w:val="28"/>
          <w:szCs w:val="28"/>
        </w:rPr>
        <w:t>（2）法定代表人（或单位负责人）身份证明及授权委托书</w:t>
      </w:r>
      <w:bookmarkEnd w:id="798"/>
      <w:bookmarkEnd w:id="799"/>
      <w:bookmarkEnd w:id="800"/>
      <w:bookmarkEnd w:id="801"/>
    </w:p>
    <w:p w14:paraId="75C5BD85">
      <w:pPr>
        <w:spacing w:line="420" w:lineRule="exact"/>
        <w:jc w:val="center"/>
        <w:rPr>
          <w:rFonts w:hint="eastAsia" w:ascii="宋体" w:hAnsi="宋体"/>
          <w:b/>
          <w:sz w:val="32"/>
          <w:szCs w:val="32"/>
        </w:rPr>
      </w:pPr>
    </w:p>
    <w:p w14:paraId="3E047D12">
      <w:pPr>
        <w:spacing w:line="420" w:lineRule="exact"/>
        <w:jc w:val="center"/>
        <w:rPr>
          <w:rFonts w:hint="eastAsia" w:ascii="宋体" w:hAnsi="宋体"/>
          <w:b/>
          <w:sz w:val="32"/>
          <w:szCs w:val="32"/>
        </w:rPr>
      </w:pPr>
      <w:r>
        <w:rPr>
          <w:rFonts w:hint="eastAsia" w:ascii="宋体" w:hAnsi="宋体"/>
          <w:b/>
          <w:sz w:val="32"/>
          <w:szCs w:val="32"/>
        </w:rPr>
        <w:t>法定代表人（或单位负责人）身份证明及授权委托书</w:t>
      </w:r>
    </w:p>
    <w:p w14:paraId="4D3EE8CA">
      <w:pPr>
        <w:spacing w:line="420" w:lineRule="exact"/>
        <w:jc w:val="center"/>
        <w:rPr>
          <w:rFonts w:hint="eastAsia" w:ascii="宋体" w:hAnsi="宋体"/>
          <w:b/>
          <w:sz w:val="32"/>
          <w:szCs w:val="32"/>
        </w:rPr>
      </w:pPr>
    </w:p>
    <w:p w14:paraId="017571A4">
      <w:pPr>
        <w:spacing w:line="420" w:lineRule="exact"/>
        <w:jc w:val="center"/>
        <w:rPr>
          <w:rFonts w:hint="eastAsia" w:ascii="宋体" w:hAnsi="宋体"/>
          <w:b/>
          <w:sz w:val="32"/>
          <w:szCs w:val="32"/>
        </w:rPr>
      </w:pPr>
      <w:r>
        <w:rPr>
          <w:rFonts w:hint="eastAsia" w:ascii="宋体" w:hAnsi="宋体"/>
          <w:b/>
          <w:sz w:val="32"/>
          <w:szCs w:val="32"/>
        </w:rPr>
        <w:t>法定代表人（或单位负责人）身份证明</w:t>
      </w:r>
    </w:p>
    <w:p w14:paraId="11955568">
      <w:pPr>
        <w:spacing w:line="420" w:lineRule="exact"/>
        <w:jc w:val="center"/>
        <w:rPr>
          <w:rFonts w:hint="eastAsia" w:ascii="宋体" w:hAnsi="宋体"/>
          <w:b/>
          <w:sz w:val="32"/>
          <w:szCs w:val="32"/>
        </w:rPr>
      </w:pPr>
    </w:p>
    <w:p w14:paraId="28FA2C6F">
      <w:pPr>
        <w:tabs>
          <w:tab w:val="left" w:pos="5565"/>
        </w:tabs>
        <w:autoSpaceDE w:val="0"/>
        <w:autoSpaceDN w:val="0"/>
        <w:adjustRightInd w:val="0"/>
        <w:snapToGrid w:val="0"/>
        <w:spacing w:line="420" w:lineRule="exact"/>
        <w:ind w:firstLine="390" w:firstLineChars="186"/>
        <w:jc w:val="left"/>
        <w:rPr>
          <w:rFonts w:hint="eastAsia" w:ascii="宋体" w:hAnsi="宋体" w:cs="宋体"/>
          <w:kern w:val="0"/>
          <w:szCs w:val="21"/>
        </w:rPr>
      </w:pPr>
      <w:r>
        <w:rPr>
          <w:rFonts w:hint="eastAsia" w:ascii="宋体" w:hAnsi="宋体" w:cs="宋体"/>
        </w:rPr>
        <w:t>比选供应商</w:t>
      </w:r>
      <w:r>
        <w:rPr>
          <w:rFonts w:hint="eastAsia" w:ascii="宋体" w:hAnsi="宋体" w:cs="宋体"/>
          <w:kern w:val="0"/>
          <w:szCs w:val="21"/>
        </w:rPr>
        <w:t>名称：</w:t>
      </w:r>
      <w:r>
        <w:rPr>
          <w:rFonts w:hint="eastAsia" w:ascii="宋体" w:hAnsi="宋体" w:cs="宋体"/>
          <w:kern w:val="0"/>
          <w:szCs w:val="21"/>
          <w:u w:val="single"/>
        </w:rPr>
        <w:tab/>
      </w:r>
    </w:p>
    <w:p w14:paraId="20875F67">
      <w:pPr>
        <w:tabs>
          <w:tab w:val="left" w:pos="5475"/>
        </w:tabs>
        <w:autoSpaceDE w:val="0"/>
        <w:autoSpaceDN w:val="0"/>
        <w:adjustRightInd w:val="0"/>
        <w:snapToGrid w:val="0"/>
        <w:spacing w:line="420" w:lineRule="exact"/>
        <w:ind w:firstLine="390" w:firstLineChars="186"/>
        <w:jc w:val="left"/>
        <w:rPr>
          <w:rFonts w:hint="eastAsia" w:ascii="宋体" w:hAnsi="宋体" w:cs="宋体"/>
          <w:kern w:val="0"/>
          <w:szCs w:val="21"/>
        </w:rPr>
      </w:pPr>
      <w:r>
        <w:rPr>
          <w:rFonts w:hint="eastAsia" w:ascii="宋体" w:hAnsi="宋体" w:cs="宋体"/>
          <w:kern w:val="0"/>
          <w:szCs w:val="21"/>
        </w:rPr>
        <w:t>单位性质：</w:t>
      </w:r>
      <w:r>
        <w:rPr>
          <w:rFonts w:hint="eastAsia" w:ascii="宋体" w:hAnsi="宋体" w:cs="宋体"/>
          <w:kern w:val="0"/>
          <w:szCs w:val="21"/>
          <w:u w:val="single"/>
        </w:rPr>
        <w:tab/>
      </w:r>
    </w:p>
    <w:p w14:paraId="0463AFAD">
      <w:pPr>
        <w:tabs>
          <w:tab w:val="left" w:pos="5475"/>
        </w:tabs>
        <w:autoSpaceDE w:val="0"/>
        <w:autoSpaceDN w:val="0"/>
        <w:adjustRightInd w:val="0"/>
        <w:snapToGrid w:val="0"/>
        <w:spacing w:line="420" w:lineRule="exact"/>
        <w:ind w:firstLine="390" w:firstLineChars="186"/>
        <w:jc w:val="left"/>
        <w:rPr>
          <w:rFonts w:hint="eastAsia" w:ascii="宋体" w:hAnsi="宋体" w:cs="宋体"/>
          <w:kern w:val="0"/>
          <w:szCs w:val="21"/>
        </w:rPr>
      </w:pPr>
      <w:r>
        <w:rPr>
          <w:rFonts w:hint="eastAsia" w:ascii="宋体" w:hAnsi="宋体" w:cs="宋体"/>
          <w:kern w:val="0"/>
          <w:szCs w:val="21"/>
        </w:rPr>
        <w:t>地址：</w:t>
      </w:r>
      <w:r>
        <w:rPr>
          <w:rFonts w:hint="eastAsia" w:ascii="宋体" w:hAnsi="宋体" w:cs="宋体"/>
          <w:kern w:val="0"/>
          <w:szCs w:val="21"/>
          <w:u w:val="single"/>
        </w:rPr>
        <w:tab/>
      </w:r>
    </w:p>
    <w:p w14:paraId="7F5732FC">
      <w:pPr>
        <w:tabs>
          <w:tab w:val="left" w:pos="2520"/>
          <w:tab w:val="left" w:pos="3836"/>
        </w:tabs>
        <w:autoSpaceDE w:val="0"/>
        <w:autoSpaceDN w:val="0"/>
        <w:adjustRightInd w:val="0"/>
        <w:snapToGrid w:val="0"/>
        <w:spacing w:line="420" w:lineRule="exact"/>
        <w:ind w:firstLine="390" w:firstLineChars="186"/>
        <w:jc w:val="left"/>
        <w:rPr>
          <w:rFonts w:hint="eastAsia" w:ascii="宋体" w:hAnsi="宋体" w:cs="宋体"/>
          <w:kern w:val="0"/>
          <w:szCs w:val="21"/>
        </w:rPr>
      </w:pPr>
      <w:r>
        <w:rPr>
          <w:rFonts w:hint="eastAsia" w:ascii="宋体" w:hAnsi="宋体" w:cs="宋体"/>
          <w:kern w:val="0"/>
          <w:szCs w:val="21"/>
        </w:rPr>
        <w:t>成立时间：</w:t>
      </w:r>
      <w:r>
        <w:rPr>
          <w:rFonts w:hint="eastAsia" w:ascii="宋体" w:hAnsi="宋体" w:cs="宋体"/>
          <w:kern w:val="0"/>
          <w:szCs w:val="21"/>
          <w:u w:val="single"/>
        </w:rPr>
        <w:tab/>
      </w:r>
      <w:r>
        <w:rPr>
          <w:rFonts w:hint="eastAsia" w:ascii="宋体" w:hAnsi="宋体" w:cs="宋体"/>
          <w:spacing w:val="-1"/>
          <w:kern w:val="0"/>
          <w:szCs w:val="21"/>
        </w:rPr>
        <w:t>年</w:t>
      </w:r>
      <w:r>
        <w:rPr>
          <w:rFonts w:hint="eastAsia" w:ascii="宋体" w:hAnsi="宋体" w:cs="宋体"/>
          <w:kern w:val="0"/>
          <w:szCs w:val="21"/>
          <w:u w:val="single"/>
        </w:rPr>
        <w:tab/>
      </w:r>
      <w:r>
        <w:rPr>
          <w:rFonts w:hint="eastAsia" w:ascii="宋体" w:hAnsi="宋体" w:cs="宋体"/>
          <w:spacing w:val="-1"/>
          <w:kern w:val="0"/>
          <w:szCs w:val="21"/>
        </w:rPr>
        <w:t>月</w:t>
      </w:r>
      <w:r>
        <w:rPr>
          <w:rFonts w:hint="eastAsia" w:ascii="宋体" w:hAnsi="宋体" w:cs="宋体"/>
          <w:kern w:val="0"/>
          <w:szCs w:val="21"/>
        </w:rPr>
        <w:t>日</w:t>
      </w:r>
    </w:p>
    <w:p w14:paraId="4F4BD968">
      <w:pPr>
        <w:tabs>
          <w:tab w:val="left" w:pos="5475"/>
        </w:tabs>
        <w:autoSpaceDE w:val="0"/>
        <w:autoSpaceDN w:val="0"/>
        <w:adjustRightInd w:val="0"/>
        <w:snapToGrid w:val="0"/>
        <w:spacing w:line="420" w:lineRule="exact"/>
        <w:ind w:firstLine="390" w:firstLineChars="186"/>
        <w:jc w:val="left"/>
        <w:rPr>
          <w:rFonts w:hint="eastAsia" w:ascii="宋体" w:hAnsi="宋体" w:cs="宋体"/>
          <w:kern w:val="0"/>
          <w:szCs w:val="21"/>
        </w:rPr>
      </w:pPr>
      <w:r>
        <w:rPr>
          <w:rFonts w:hint="eastAsia" w:ascii="宋体" w:hAnsi="宋体" w:cs="宋体"/>
          <w:kern w:val="0"/>
          <w:szCs w:val="21"/>
        </w:rPr>
        <w:t>经营期限：</w:t>
      </w:r>
      <w:r>
        <w:rPr>
          <w:rFonts w:hint="eastAsia" w:ascii="宋体" w:hAnsi="宋体" w:cs="宋体"/>
          <w:kern w:val="0"/>
          <w:szCs w:val="21"/>
          <w:u w:val="single"/>
        </w:rPr>
        <w:tab/>
      </w:r>
    </w:p>
    <w:p w14:paraId="2BE04393">
      <w:pPr>
        <w:tabs>
          <w:tab w:val="left" w:pos="1580"/>
          <w:tab w:val="left" w:pos="3260"/>
          <w:tab w:val="left" w:pos="4840"/>
          <w:tab w:val="left" w:pos="6300"/>
        </w:tabs>
        <w:autoSpaceDE w:val="0"/>
        <w:autoSpaceDN w:val="0"/>
        <w:adjustRightInd w:val="0"/>
        <w:snapToGrid w:val="0"/>
        <w:spacing w:line="420" w:lineRule="exact"/>
        <w:ind w:firstLine="390" w:firstLineChars="186"/>
        <w:jc w:val="left"/>
        <w:rPr>
          <w:rFonts w:hint="eastAsia"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ab/>
      </w:r>
      <w:r>
        <w:rPr>
          <w:rFonts w:hint="eastAsia" w:ascii="宋体" w:hAnsi="宋体" w:cs="宋体"/>
          <w:kern w:val="0"/>
          <w:szCs w:val="21"/>
        </w:rPr>
        <w:t xml:space="preserve"> 性别</w:t>
      </w:r>
      <w:r>
        <w:rPr>
          <w:rFonts w:hint="eastAsia" w:ascii="宋体" w:hAnsi="宋体" w:cs="宋体"/>
          <w:spacing w:val="-1"/>
          <w:kern w:val="0"/>
          <w:szCs w:val="21"/>
        </w:rPr>
        <w:t>：</w:t>
      </w:r>
      <w:r>
        <w:rPr>
          <w:rFonts w:hint="eastAsia" w:ascii="宋体" w:hAnsi="宋体" w:cs="宋体"/>
          <w:kern w:val="0"/>
          <w:szCs w:val="21"/>
          <w:u w:val="single"/>
        </w:rPr>
        <w:tab/>
      </w:r>
      <w:r>
        <w:rPr>
          <w:rFonts w:hint="eastAsia" w:ascii="宋体" w:hAnsi="宋体" w:cs="宋体"/>
          <w:spacing w:val="-1"/>
          <w:kern w:val="0"/>
          <w:szCs w:val="21"/>
        </w:rPr>
        <w:t>年</w:t>
      </w:r>
      <w:r>
        <w:rPr>
          <w:rFonts w:hint="eastAsia" w:ascii="宋体" w:hAnsi="宋体" w:cs="宋体"/>
          <w:kern w:val="0"/>
          <w:szCs w:val="21"/>
        </w:rPr>
        <w:t>龄：</w:t>
      </w:r>
      <w:r>
        <w:rPr>
          <w:rFonts w:hint="eastAsia" w:ascii="宋体" w:hAnsi="宋体" w:cs="宋体"/>
          <w:kern w:val="0"/>
          <w:szCs w:val="21"/>
          <w:u w:val="single"/>
        </w:rPr>
        <w:tab/>
      </w:r>
      <w:r>
        <w:rPr>
          <w:rFonts w:hint="eastAsia" w:ascii="宋体" w:hAnsi="宋体" w:cs="宋体"/>
          <w:kern w:val="0"/>
          <w:szCs w:val="21"/>
        </w:rPr>
        <w:t>职务：</w:t>
      </w:r>
      <w:r>
        <w:rPr>
          <w:rFonts w:hint="eastAsia" w:ascii="宋体" w:hAnsi="宋体" w:cs="宋体"/>
          <w:kern w:val="0"/>
          <w:szCs w:val="21"/>
          <w:u w:val="single"/>
        </w:rPr>
        <w:tab/>
      </w:r>
    </w:p>
    <w:p w14:paraId="558D1B3E">
      <w:pPr>
        <w:tabs>
          <w:tab w:val="left" w:pos="3360"/>
        </w:tabs>
        <w:autoSpaceDE w:val="0"/>
        <w:autoSpaceDN w:val="0"/>
        <w:adjustRightInd w:val="0"/>
        <w:snapToGrid w:val="0"/>
        <w:spacing w:line="420" w:lineRule="exact"/>
        <w:ind w:firstLine="390" w:firstLineChars="186"/>
        <w:jc w:val="left"/>
        <w:rPr>
          <w:rFonts w:hint="eastAsia" w:ascii="宋体" w:hAnsi="宋体" w:cs="宋体"/>
          <w:kern w:val="0"/>
          <w:szCs w:val="21"/>
        </w:rPr>
      </w:pPr>
      <w:r>
        <w:rPr>
          <w:rFonts w:hint="eastAsia" w:ascii="宋体" w:hAnsi="宋体" w:cs="宋体"/>
          <w:kern w:val="0"/>
          <w:szCs w:val="21"/>
        </w:rPr>
        <w:t>系</w:t>
      </w:r>
      <w:r>
        <w:rPr>
          <w:rFonts w:hint="eastAsia" w:ascii="宋体" w:hAnsi="宋体" w:cs="宋体"/>
          <w:kern w:val="0"/>
          <w:szCs w:val="21"/>
          <w:u w:val="single"/>
        </w:rPr>
        <w:tab/>
      </w:r>
      <w:r>
        <w:rPr>
          <w:rFonts w:hint="eastAsia" w:ascii="宋体" w:hAnsi="宋体" w:cs="宋体"/>
          <w:kern w:val="0"/>
          <w:szCs w:val="21"/>
        </w:rPr>
        <w:t xml:space="preserve"> （比选供应商名称）的法定代表人</w:t>
      </w:r>
      <w:r>
        <w:rPr>
          <w:rFonts w:hint="eastAsia" w:hAnsi="宋体" w:cs="宋体"/>
          <w:szCs w:val="21"/>
        </w:rPr>
        <w:t>（或单位负责人）</w:t>
      </w:r>
      <w:r>
        <w:rPr>
          <w:rFonts w:hint="eastAsia" w:ascii="宋体" w:hAnsi="宋体" w:cs="宋体"/>
          <w:kern w:val="0"/>
          <w:szCs w:val="21"/>
        </w:rPr>
        <w:t>。</w:t>
      </w:r>
    </w:p>
    <w:p w14:paraId="215B063F">
      <w:pPr>
        <w:autoSpaceDE w:val="0"/>
        <w:autoSpaceDN w:val="0"/>
        <w:adjustRightInd w:val="0"/>
        <w:snapToGrid w:val="0"/>
        <w:spacing w:line="420" w:lineRule="exact"/>
        <w:ind w:firstLine="810" w:firstLineChars="386"/>
        <w:jc w:val="left"/>
        <w:rPr>
          <w:rFonts w:hint="eastAsia" w:ascii="宋体" w:hAnsi="宋体" w:cs="宋体"/>
          <w:kern w:val="0"/>
          <w:szCs w:val="21"/>
        </w:rPr>
      </w:pPr>
      <w:r>
        <w:rPr>
          <w:rFonts w:hint="eastAsia" w:ascii="宋体" w:hAnsi="宋体" w:cs="宋体"/>
          <w:kern w:val="0"/>
          <w:szCs w:val="21"/>
        </w:rPr>
        <w:t>特此证明。</w:t>
      </w:r>
    </w:p>
    <w:p w14:paraId="3C0B67DE">
      <w:pPr>
        <w:autoSpaceDE w:val="0"/>
        <w:autoSpaceDN w:val="0"/>
        <w:adjustRightInd w:val="0"/>
        <w:snapToGrid w:val="0"/>
        <w:spacing w:line="420" w:lineRule="exact"/>
        <w:jc w:val="left"/>
        <w:rPr>
          <w:rFonts w:hint="eastAsia" w:ascii="宋体" w:hAnsi="宋体" w:cs="宋体"/>
          <w:kern w:val="0"/>
          <w:szCs w:val="21"/>
        </w:rPr>
      </w:pPr>
      <w:r>
        <w:rPr>
          <w:rFonts w:ascii="宋体" w:hAnsi="宋体" w:cs="宋体"/>
          <w:kern w:val="0"/>
          <w:szCs w:val="21"/>
        </w:rPr>
        <mc:AlternateContent>
          <mc:Choice Requires="wps">
            <w:drawing>
              <wp:anchor distT="0" distB="0" distL="114300" distR="114300" simplePos="0" relativeHeight="251668480" behindDoc="0" locked="0" layoutInCell="1" allowOverlap="1">
                <wp:simplePos x="0" y="0"/>
                <wp:positionH relativeFrom="column">
                  <wp:posOffset>721995</wp:posOffset>
                </wp:positionH>
                <wp:positionV relativeFrom="paragraph">
                  <wp:posOffset>187325</wp:posOffset>
                </wp:positionV>
                <wp:extent cx="4743450" cy="1905000"/>
                <wp:effectExtent l="0" t="0" r="19050" b="19050"/>
                <wp:wrapNone/>
                <wp:docPr id="54455544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743450" cy="1905000"/>
                        </a:xfrm>
                        <a:prstGeom prst="rect">
                          <a:avLst/>
                        </a:prstGeom>
                        <a:solidFill>
                          <a:srgbClr val="FFFFFF"/>
                        </a:solidFill>
                        <a:ln w="9525">
                          <a:solidFill>
                            <a:srgbClr val="000000"/>
                          </a:solidFill>
                          <a:miter lim="800000"/>
                        </a:ln>
                        <a:effectLst/>
                      </wps:spPr>
                      <wps:txbx>
                        <w:txbxContent>
                          <w:p w14:paraId="79722D6B">
                            <w:pPr>
                              <w:spacing w:line="360" w:lineRule="auto"/>
                              <w:rPr>
                                <w:rFonts w:hint="eastAsia" w:ascii="宋体" w:hAnsi="宋体"/>
                                <w:b/>
                                <w:sz w:val="24"/>
                              </w:rPr>
                            </w:pPr>
                          </w:p>
                          <w:p w14:paraId="2C455A35">
                            <w:pPr>
                              <w:spacing w:line="360" w:lineRule="auto"/>
                              <w:rPr>
                                <w:rFonts w:hint="eastAsia" w:ascii="宋体" w:hAnsi="宋体"/>
                                <w:b/>
                                <w:sz w:val="24"/>
                              </w:rPr>
                            </w:pPr>
                          </w:p>
                          <w:p w14:paraId="7BA2724D">
                            <w:pPr>
                              <w:spacing w:line="360" w:lineRule="auto"/>
                              <w:rPr>
                                <w:rFonts w:hint="eastAsia" w:ascii="宋体" w:hAnsi="宋体"/>
                                <w:b/>
                                <w:sz w:val="24"/>
                              </w:rPr>
                            </w:pPr>
                          </w:p>
                          <w:p w14:paraId="2207E604">
                            <w:pPr>
                              <w:spacing w:line="360" w:lineRule="auto"/>
                              <w:jc w:val="center"/>
                              <w:rPr>
                                <w:rFonts w:hint="eastAsia" w:ascii="宋体" w:hAnsi="宋体"/>
                                <w:b/>
                                <w:sz w:val="24"/>
                              </w:rPr>
                            </w:pPr>
                            <w:r>
                              <w:rPr>
                                <w:rFonts w:hint="eastAsia" w:ascii="宋体" w:hAnsi="宋体"/>
                                <w:b/>
                                <w:sz w:val="24"/>
                              </w:rPr>
                              <w:t>法定代表人（或单位负责人）身份证双面复印件</w:t>
                            </w:r>
                          </w:p>
                          <w:p w14:paraId="240FEC9D">
                            <w:pPr>
                              <w:jc w:val="center"/>
                            </w:pP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56.85pt;margin-top:14.75pt;height:150pt;width:373.5pt;z-index:251668480;mso-width-relative:page;mso-height-relative:page;" fillcolor="#FFFFFF" filled="t" stroked="t" coordsize="21600,21600" o:gfxdata="UEsDBAoAAAAAAIdO4kAAAAAAAAAAAAAAAAAEAAAAZHJzL1BLAwQUAAAACACHTuJAz8ohZ9gAAAAK&#10;AQAADwAAAGRycy9kb3ducmV2LnhtbE2PwU7DMBBE70j8g7VIXBC100Cahjg9IIHgBgW1Vzd2kwh7&#10;HWw3LX/P9gTHmX2analXJ2fZZEIcPErIZgKYwdbrATsJnx9PtyWwmBRqZT0aCT8mwqq5vKhVpf0R&#10;3820Th2jEIyVktCnNFacx7Y3TsWZHw3Sbe+DU4lk6LgO6kjhzvK5EAV3akD60KvRPPam/VofnITy&#10;7mXaxtf8bdMWe7tMN4vp+TtIeX2ViQdgyZzSHwzn+lQdGuq08wfUkVnSWb4gVMJ8eQ+MgLIQZOwk&#10;5GeHNzX/P6H5BVBLAwQUAAAACACHTuJA+3KaeE8CAACeBAAADgAAAGRycy9lMm9Eb2MueG1srVTN&#10;bhMxEL4j8Q6W72Q3YZc2q2yq0qoIqfxIhQdwvN6she0xtpPd8gDwBpy4cOe58hyMvWkaipB6IAfL&#10;szP+5ptvZrI4G7QiW+G8BFPT6SSnRBgOjTTrmn78cPXslBIfmGmYAiNqeis8PVs+fbLobSVm0IFq&#10;hCMIYnzV25p2IdgqyzzvhGZ+AlYYdLbgNAtounXWONYjulbZLM9fZD24xjrgwnv8ejk66R7RPQYQ&#10;2lZycQl8o4UJI6oTigUsyXfSerpMbNtW8PCubb0IRNUUKw3pxCR4X8UzWy5YtXbMdpLvKbDHUHhQ&#10;k2bSYNID1CULjGyc/AtKS+7AQxsmHHQ2FpIUwSqm+QNtbjpmRaoFpfb2ILr/f7D87fa9I7KpaVkU&#10;ZYnHjBLDNDZ+9/3b7sev3c+vZBZl6q2vMPrGYnwYXsKAw5NK9vYa+CdPDFx0zKzFuXPQd4I1SHMa&#10;X2ZHT0ccH0FW/RtoMA/bBEhAQ+t01BBVIYiOLbo9tEgMgXD8WJwUz4sSXRx903le5nlqYsaqu+fW&#10;+fBKgCbxUlOHM5Dg2fbah0iHVXchMZsHJZsrqVQy3Hp1oRzZMpyXq/RLFTwIU4b0NZ2Xs3JU4J8Q&#10;yO6e4B+ZtAy4Rkrqmp4eBykTeYg0unu+Ub6o2KhdGFbDvh0raG5RSAfjWONS46UD94WSHke6pv7z&#10;hjlBiXptsBnzaVHEHUhGUZ7M0HDHntWxhxmOUDUNlIzXizDuzcY6ue4w09h+A+fYwFYmaSPVkdW+&#10;7Ti2SfH9isW9OLZT1P3fyv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z8ohZ9gAAAAKAQAADwAA&#10;AAAAAAABACAAAAAiAAAAZHJzL2Rvd25yZXYueG1sUEsBAhQAFAAAAAgAh07iQPtymnhPAgAAngQA&#10;AA4AAAAAAAAAAQAgAAAAJwEAAGRycy9lMm9Eb2MueG1sUEsFBgAAAAAGAAYAWQEAAOgFAAAAAA==&#10;">
                <v:fill on="t" focussize="0,0"/>
                <v:stroke color="#000000" miterlimit="8" joinstyle="miter"/>
                <v:imagedata o:title=""/>
                <o:lock v:ext="edit" aspectratio="f"/>
                <v:textbox>
                  <w:txbxContent>
                    <w:p w14:paraId="79722D6B">
                      <w:pPr>
                        <w:spacing w:line="360" w:lineRule="auto"/>
                        <w:rPr>
                          <w:rFonts w:hint="eastAsia" w:ascii="宋体" w:hAnsi="宋体"/>
                          <w:b/>
                          <w:sz w:val="24"/>
                        </w:rPr>
                      </w:pPr>
                    </w:p>
                    <w:p w14:paraId="2C455A35">
                      <w:pPr>
                        <w:spacing w:line="360" w:lineRule="auto"/>
                        <w:rPr>
                          <w:rFonts w:hint="eastAsia" w:ascii="宋体" w:hAnsi="宋体"/>
                          <w:b/>
                          <w:sz w:val="24"/>
                        </w:rPr>
                      </w:pPr>
                    </w:p>
                    <w:p w14:paraId="7BA2724D">
                      <w:pPr>
                        <w:spacing w:line="360" w:lineRule="auto"/>
                        <w:rPr>
                          <w:rFonts w:hint="eastAsia" w:ascii="宋体" w:hAnsi="宋体"/>
                          <w:b/>
                          <w:sz w:val="24"/>
                        </w:rPr>
                      </w:pPr>
                    </w:p>
                    <w:p w14:paraId="2207E604">
                      <w:pPr>
                        <w:spacing w:line="360" w:lineRule="auto"/>
                        <w:jc w:val="center"/>
                        <w:rPr>
                          <w:rFonts w:hint="eastAsia" w:ascii="宋体" w:hAnsi="宋体"/>
                          <w:b/>
                          <w:sz w:val="24"/>
                        </w:rPr>
                      </w:pPr>
                      <w:r>
                        <w:rPr>
                          <w:rFonts w:hint="eastAsia" w:ascii="宋体" w:hAnsi="宋体"/>
                          <w:b/>
                          <w:sz w:val="24"/>
                        </w:rPr>
                        <w:t>法定代表人（或单位负责人）身份证双面复印件</w:t>
                      </w:r>
                    </w:p>
                    <w:p w14:paraId="240FEC9D">
                      <w:pPr>
                        <w:jc w:val="center"/>
                      </w:pPr>
                    </w:p>
                  </w:txbxContent>
                </v:textbox>
              </v:shape>
            </w:pict>
          </mc:Fallback>
        </mc:AlternateContent>
      </w:r>
    </w:p>
    <w:p w14:paraId="1C9C8658">
      <w:pPr>
        <w:autoSpaceDE w:val="0"/>
        <w:autoSpaceDN w:val="0"/>
        <w:adjustRightInd w:val="0"/>
        <w:snapToGrid w:val="0"/>
        <w:spacing w:line="420" w:lineRule="exact"/>
        <w:jc w:val="left"/>
        <w:rPr>
          <w:rFonts w:hint="eastAsia" w:ascii="宋体" w:hAnsi="宋体" w:cs="宋体"/>
          <w:kern w:val="0"/>
          <w:szCs w:val="21"/>
        </w:rPr>
      </w:pPr>
    </w:p>
    <w:p w14:paraId="3BDA9784">
      <w:pPr>
        <w:autoSpaceDE w:val="0"/>
        <w:autoSpaceDN w:val="0"/>
        <w:adjustRightInd w:val="0"/>
        <w:snapToGrid w:val="0"/>
        <w:spacing w:line="420" w:lineRule="exact"/>
        <w:jc w:val="left"/>
        <w:rPr>
          <w:rFonts w:hint="eastAsia" w:ascii="宋体" w:hAnsi="宋体" w:cs="宋体"/>
          <w:kern w:val="0"/>
          <w:szCs w:val="21"/>
        </w:rPr>
      </w:pPr>
    </w:p>
    <w:p w14:paraId="4BF3699C">
      <w:pPr>
        <w:autoSpaceDE w:val="0"/>
        <w:autoSpaceDN w:val="0"/>
        <w:adjustRightInd w:val="0"/>
        <w:snapToGrid w:val="0"/>
        <w:spacing w:line="420" w:lineRule="exact"/>
        <w:jc w:val="left"/>
        <w:rPr>
          <w:rFonts w:hint="eastAsia" w:ascii="宋体" w:hAnsi="宋体" w:cs="宋体"/>
          <w:kern w:val="0"/>
          <w:szCs w:val="21"/>
        </w:rPr>
      </w:pPr>
    </w:p>
    <w:p w14:paraId="54276A86">
      <w:pPr>
        <w:autoSpaceDE w:val="0"/>
        <w:autoSpaceDN w:val="0"/>
        <w:adjustRightInd w:val="0"/>
        <w:snapToGrid w:val="0"/>
        <w:spacing w:line="420" w:lineRule="exact"/>
        <w:jc w:val="left"/>
        <w:rPr>
          <w:rFonts w:hint="eastAsia" w:ascii="宋体" w:hAnsi="宋体" w:cs="宋体"/>
          <w:kern w:val="0"/>
          <w:szCs w:val="21"/>
        </w:rPr>
      </w:pPr>
    </w:p>
    <w:p w14:paraId="072E8341">
      <w:pPr>
        <w:autoSpaceDE w:val="0"/>
        <w:autoSpaceDN w:val="0"/>
        <w:adjustRightInd w:val="0"/>
        <w:snapToGrid w:val="0"/>
        <w:spacing w:line="420" w:lineRule="exact"/>
        <w:jc w:val="left"/>
        <w:rPr>
          <w:rFonts w:hint="eastAsia" w:ascii="宋体" w:hAnsi="宋体" w:cs="宋体"/>
          <w:kern w:val="0"/>
          <w:szCs w:val="21"/>
        </w:rPr>
      </w:pPr>
    </w:p>
    <w:p w14:paraId="1E6E0FA9">
      <w:pPr>
        <w:autoSpaceDE w:val="0"/>
        <w:autoSpaceDN w:val="0"/>
        <w:adjustRightInd w:val="0"/>
        <w:snapToGrid w:val="0"/>
        <w:spacing w:line="420" w:lineRule="exact"/>
        <w:jc w:val="left"/>
        <w:rPr>
          <w:rFonts w:hint="eastAsia" w:ascii="宋体" w:hAnsi="宋体" w:cs="宋体"/>
          <w:kern w:val="0"/>
          <w:szCs w:val="21"/>
        </w:rPr>
      </w:pPr>
    </w:p>
    <w:p w14:paraId="7F5B7EF6">
      <w:pPr>
        <w:autoSpaceDE w:val="0"/>
        <w:autoSpaceDN w:val="0"/>
        <w:adjustRightInd w:val="0"/>
        <w:snapToGrid w:val="0"/>
        <w:spacing w:line="420" w:lineRule="exact"/>
        <w:jc w:val="left"/>
        <w:rPr>
          <w:rFonts w:hint="eastAsia" w:ascii="宋体" w:hAnsi="宋体" w:cs="宋体"/>
          <w:kern w:val="0"/>
          <w:szCs w:val="21"/>
        </w:rPr>
      </w:pPr>
    </w:p>
    <w:p w14:paraId="7422A8E3">
      <w:pPr>
        <w:autoSpaceDE w:val="0"/>
        <w:autoSpaceDN w:val="0"/>
        <w:adjustRightInd w:val="0"/>
        <w:snapToGrid w:val="0"/>
        <w:spacing w:line="420" w:lineRule="exact"/>
        <w:jc w:val="left"/>
        <w:rPr>
          <w:rFonts w:hint="eastAsia" w:ascii="宋体" w:hAnsi="宋体" w:cs="宋体"/>
          <w:kern w:val="0"/>
          <w:szCs w:val="21"/>
        </w:rPr>
      </w:pPr>
    </w:p>
    <w:p w14:paraId="70B600AD">
      <w:pPr>
        <w:tabs>
          <w:tab w:val="left" w:pos="5460"/>
        </w:tabs>
        <w:autoSpaceDE w:val="0"/>
        <w:autoSpaceDN w:val="0"/>
        <w:adjustRightInd w:val="0"/>
        <w:snapToGrid w:val="0"/>
        <w:spacing w:line="420" w:lineRule="exact"/>
        <w:ind w:firstLine="1890" w:firstLineChars="900"/>
        <w:jc w:val="right"/>
        <w:rPr>
          <w:rFonts w:hint="eastAsia" w:ascii="宋体" w:hAnsi="宋体" w:cs="宋体"/>
          <w:kern w:val="0"/>
          <w:szCs w:val="21"/>
        </w:rPr>
      </w:pPr>
      <w:r>
        <w:rPr>
          <w:rFonts w:hint="eastAsia" w:ascii="宋体" w:hAnsi="宋体" w:cs="宋体"/>
          <w:kern w:val="0"/>
          <w:szCs w:val="21"/>
        </w:rPr>
        <w:t>比选供应商：</w:t>
      </w:r>
      <w:r>
        <w:rPr>
          <w:rFonts w:hint="eastAsia" w:ascii="宋体" w:hAnsi="宋体" w:cs="宋体"/>
          <w:kern w:val="0"/>
          <w:szCs w:val="21"/>
          <w:u w:val="single"/>
        </w:rPr>
        <w:tab/>
      </w:r>
      <w:r>
        <w:rPr>
          <w:rFonts w:hint="eastAsia" w:ascii="宋体" w:hAnsi="宋体" w:cs="宋体"/>
          <w:spacing w:val="-1"/>
          <w:kern w:val="0"/>
          <w:szCs w:val="21"/>
        </w:rPr>
        <w:t>（</w:t>
      </w:r>
      <w:r>
        <w:rPr>
          <w:rFonts w:hint="eastAsia" w:ascii="宋体" w:hAnsi="宋体" w:cs="宋体"/>
          <w:kern w:val="0"/>
          <w:szCs w:val="21"/>
        </w:rPr>
        <w:t>盖鲜公章）</w:t>
      </w:r>
    </w:p>
    <w:p w14:paraId="1144E290">
      <w:pPr>
        <w:autoSpaceDE w:val="0"/>
        <w:autoSpaceDN w:val="0"/>
        <w:adjustRightInd w:val="0"/>
        <w:snapToGrid w:val="0"/>
        <w:spacing w:line="420" w:lineRule="exact"/>
        <w:jc w:val="left"/>
        <w:rPr>
          <w:rFonts w:hint="eastAsia" w:ascii="宋体" w:hAnsi="宋体" w:cs="宋体"/>
          <w:kern w:val="0"/>
          <w:szCs w:val="21"/>
        </w:rPr>
      </w:pPr>
    </w:p>
    <w:p w14:paraId="1AB46F94">
      <w:pPr>
        <w:tabs>
          <w:tab w:val="left" w:pos="4935"/>
          <w:tab w:val="left" w:pos="5460"/>
          <w:tab w:val="left" w:pos="6400"/>
        </w:tabs>
        <w:autoSpaceDE w:val="0"/>
        <w:autoSpaceDN w:val="0"/>
        <w:adjustRightInd w:val="0"/>
        <w:snapToGrid w:val="0"/>
        <w:spacing w:line="420" w:lineRule="exact"/>
        <w:ind w:right="728" w:firstLine="3780"/>
        <w:jc w:val="right"/>
        <w:rPr>
          <w:rFonts w:hint="eastAsia" w:ascii="宋体" w:hAnsi="宋体" w:cs="宋体"/>
          <w:kern w:val="0"/>
          <w:szCs w:val="21"/>
        </w:rPr>
      </w:pPr>
      <w:r>
        <w:rPr>
          <w:rFonts w:hint="eastAsia" w:ascii="宋体" w:hAnsi="宋体" w:cs="宋体"/>
          <w:spacing w:val="-1"/>
          <w:kern w:val="0"/>
          <w:szCs w:val="21"/>
        </w:rPr>
        <w:t>_</w:t>
      </w:r>
      <w:r>
        <w:rPr>
          <w:rFonts w:ascii="宋体" w:hAnsi="宋体" w:cs="宋体"/>
          <w:spacing w:val="-1"/>
          <w:kern w:val="0"/>
          <w:szCs w:val="21"/>
        </w:rPr>
        <w:t>____</w:t>
      </w:r>
      <w:r>
        <w:rPr>
          <w:rFonts w:hint="eastAsia" w:ascii="宋体" w:hAnsi="宋体" w:cs="宋体"/>
          <w:spacing w:val="-1"/>
          <w:kern w:val="0"/>
          <w:szCs w:val="21"/>
        </w:rPr>
        <w:t>年</w:t>
      </w:r>
      <w:r>
        <w:rPr>
          <w:rFonts w:hint="eastAsia" w:ascii="宋体" w:hAnsi="宋体" w:cs="宋体"/>
          <w:spacing w:val="-1"/>
          <w:kern w:val="0"/>
          <w:szCs w:val="21"/>
          <w:u w:val="single"/>
        </w:rPr>
        <w:t xml:space="preserve"> </w:t>
      </w:r>
      <w:r>
        <w:rPr>
          <w:rFonts w:ascii="宋体" w:hAnsi="宋体" w:cs="宋体"/>
          <w:spacing w:val="-1"/>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ascii="宋体" w:hAnsi="宋体" w:cs="宋体"/>
          <w:kern w:val="0"/>
          <w:szCs w:val="21"/>
          <w:u w:val="single"/>
        </w:rPr>
        <w:t xml:space="preserve">    </w:t>
      </w:r>
      <w:r>
        <w:rPr>
          <w:rFonts w:hint="eastAsia" w:ascii="宋体" w:hAnsi="宋体" w:cs="宋体"/>
          <w:kern w:val="0"/>
          <w:szCs w:val="21"/>
        </w:rPr>
        <w:t>日</w:t>
      </w:r>
    </w:p>
    <w:p w14:paraId="17293C43">
      <w:pPr>
        <w:tabs>
          <w:tab w:val="left" w:pos="4935"/>
          <w:tab w:val="left" w:pos="5460"/>
          <w:tab w:val="left" w:pos="6400"/>
        </w:tabs>
        <w:autoSpaceDE w:val="0"/>
        <w:autoSpaceDN w:val="0"/>
        <w:adjustRightInd w:val="0"/>
        <w:snapToGrid w:val="0"/>
        <w:spacing w:line="420" w:lineRule="exact"/>
        <w:ind w:firstLine="3780"/>
        <w:jc w:val="left"/>
        <w:rPr>
          <w:rFonts w:hint="eastAsia" w:ascii="宋体" w:hAnsi="宋体" w:cs="宋体"/>
          <w:kern w:val="0"/>
          <w:szCs w:val="21"/>
        </w:rPr>
      </w:pPr>
    </w:p>
    <w:p w14:paraId="23F9925C">
      <w:pPr>
        <w:tabs>
          <w:tab w:val="left" w:pos="4935"/>
          <w:tab w:val="left" w:pos="5460"/>
          <w:tab w:val="left" w:pos="6400"/>
        </w:tabs>
        <w:autoSpaceDE w:val="0"/>
        <w:autoSpaceDN w:val="0"/>
        <w:adjustRightInd w:val="0"/>
        <w:snapToGrid w:val="0"/>
        <w:spacing w:line="420" w:lineRule="exact"/>
        <w:ind w:firstLine="3780"/>
        <w:jc w:val="left"/>
        <w:rPr>
          <w:rFonts w:hint="eastAsia" w:ascii="宋体" w:hAnsi="宋体" w:cs="宋体"/>
          <w:kern w:val="0"/>
          <w:szCs w:val="21"/>
        </w:rPr>
      </w:pPr>
    </w:p>
    <w:p w14:paraId="387099DB">
      <w:pPr>
        <w:tabs>
          <w:tab w:val="left" w:pos="4935"/>
          <w:tab w:val="left" w:pos="5460"/>
          <w:tab w:val="left" w:pos="6400"/>
        </w:tabs>
        <w:autoSpaceDE w:val="0"/>
        <w:autoSpaceDN w:val="0"/>
        <w:adjustRightInd w:val="0"/>
        <w:snapToGrid w:val="0"/>
        <w:spacing w:line="420" w:lineRule="exact"/>
        <w:jc w:val="left"/>
        <w:rPr>
          <w:rFonts w:hint="eastAsia" w:ascii="宋体" w:hAnsi="宋体" w:cs="宋体"/>
          <w:kern w:val="0"/>
          <w:szCs w:val="21"/>
        </w:rPr>
      </w:pPr>
    </w:p>
    <w:p w14:paraId="52CB3682">
      <w:pPr>
        <w:spacing w:line="420" w:lineRule="exact"/>
        <w:ind w:firstLine="420" w:firstLineChars="200"/>
        <w:rPr>
          <w:rFonts w:hint="eastAsia" w:ascii="宋体" w:hAnsi="宋体" w:cs="宋体"/>
          <w:szCs w:val="21"/>
        </w:rPr>
      </w:pPr>
      <w:r>
        <w:rPr>
          <w:rFonts w:hint="eastAsia" w:ascii="宋体" w:hAnsi="宋体" w:cs="宋体"/>
          <w:szCs w:val="21"/>
        </w:rPr>
        <w:t>注：法定代表人</w:t>
      </w:r>
      <w:r>
        <w:rPr>
          <w:rFonts w:hint="eastAsia" w:hAnsi="宋体" w:cs="宋体"/>
          <w:szCs w:val="21"/>
        </w:rPr>
        <w:t>（或单位负责人）</w:t>
      </w:r>
      <w:r>
        <w:rPr>
          <w:rFonts w:hint="eastAsia" w:ascii="宋体" w:hAnsi="宋体" w:cs="宋体"/>
          <w:szCs w:val="21"/>
        </w:rPr>
        <w:t>身份证明需按上述格式填写完整，不可缺少内容。</w:t>
      </w:r>
    </w:p>
    <w:p w14:paraId="58F6EBCC">
      <w:pPr>
        <w:spacing w:line="420" w:lineRule="exact"/>
        <w:jc w:val="center"/>
        <w:rPr>
          <w:rFonts w:hint="eastAsia" w:ascii="宋体" w:hAnsi="宋体"/>
          <w:b/>
          <w:sz w:val="32"/>
          <w:szCs w:val="32"/>
        </w:rPr>
      </w:pPr>
      <w:r>
        <w:rPr>
          <w:rFonts w:ascii="新宋体" w:hAnsi="新宋体" w:eastAsia="新宋体" w:cs="新宋体"/>
          <w:b/>
          <w:sz w:val="28"/>
        </w:rPr>
        <w:br w:type="page"/>
      </w:r>
      <w:r>
        <w:rPr>
          <w:rFonts w:hint="eastAsia" w:ascii="宋体" w:hAnsi="宋体"/>
          <w:b/>
          <w:sz w:val="32"/>
          <w:szCs w:val="32"/>
        </w:rPr>
        <w:t>授权委托书</w:t>
      </w:r>
    </w:p>
    <w:p w14:paraId="13C0D165">
      <w:pPr>
        <w:autoSpaceDE w:val="0"/>
        <w:autoSpaceDN w:val="0"/>
        <w:adjustRightInd w:val="0"/>
        <w:snapToGrid w:val="0"/>
        <w:spacing w:line="420" w:lineRule="exact"/>
        <w:jc w:val="left"/>
        <w:rPr>
          <w:rFonts w:hint="eastAsia" w:ascii="新宋体" w:hAnsi="新宋体" w:eastAsia="新宋体" w:cs="新宋体"/>
          <w:kern w:val="0"/>
          <w:sz w:val="12"/>
          <w:szCs w:val="12"/>
        </w:rPr>
      </w:pPr>
    </w:p>
    <w:p w14:paraId="672DD2D3">
      <w:pPr>
        <w:autoSpaceDE w:val="0"/>
        <w:autoSpaceDN w:val="0"/>
        <w:adjustRightInd w:val="0"/>
        <w:snapToGrid w:val="0"/>
        <w:spacing w:line="420" w:lineRule="exact"/>
        <w:jc w:val="left"/>
        <w:rPr>
          <w:rFonts w:hint="eastAsia" w:ascii="新宋体" w:hAnsi="新宋体" w:eastAsia="新宋体" w:cs="新宋体"/>
          <w:kern w:val="0"/>
          <w:sz w:val="20"/>
        </w:rPr>
      </w:pPr>
    </w:p>
    <w:p w14:paraId="63FDDF43">
      <w:pPr>
        <w:tabs>
          <w:tab w:val="left" w:pos="1680"/>
          <w:tab w:val="left" w:pos="5055"/>
          <w:tab w:val="left" w:pos="8000"/>
        </w:tabs>
        <w:autoSpaceDE w:val="0"/>
        <w:autoSpaceDN w:val="0"/>
        <w:adjustRightInd w:val="0"/>
        <w:snapToGrid w:val="0"/>
        <w:spacing w:line="420" w:lineRule="exact"/>
        <w:ind w:firstLine="420"/>
        <w:rPr>
          <w:rFonts w:hint="eastAsia"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ab/>
      </w:r>
      <w:r>
        <w:rPr>
          <w:rFonts w:hint="eastAsia" w:ascii="宋体" w:hAnsi="宋体" w:cs="宋体"/>
          <w:kern w:val="0"/>
          <w:szCs w:val="21"/>
        </w:rPr>
        <w:t>（姓名）系</w:t>
      </w:r>
      <w:r>
        <w:rPr>
          <w:rFonts w:hint="eastAsia" w:ascii="宋体" w:hAnsi="宋体" w:cs="宋体"/>
          <w:kern w:val="0"/>
          <w:szCs w:val="21"/>
          <w:u w:val="single"/>
        </w:rPr>
        <w:tab/>
      </w:r>
      <w:r>
        <w:rPr>
          <w:rFonts w:hint="eastAsia" w:ascii="宋体" w:hAnsi="宋体" w:cs="宋体"/>
          <w:kern w:val="0"/>
          <w:szCs w:val="21"/>
        </w:rPr>
        <w:t>（</w:t>
      </w:r>
      <w:r>
        <w:rPr>
          <w:rFonts w:hint="eastAsia" w:ascii="宋体" w:hAnsi="宋体" w:cs="宋体"/>
          <w:spacing w:val="-1"/>
          <w:kern w:val="0"/>
          <w:szCs w:val="21"/>
        </w:rPr>
        <w:t>比选供应商</w:t>
      </w:r>
      <w:r>
        <w:rPr>
          <w:rFonts w:hint="eastAsia" w:ascii="宋体" w:hAnsi="宋体" w:cs="宋体"/>
          <w:kern w:val="0"/>
          <w:szCs w:val="21"/>
        </w:rPr>
        <w:t>名称</w:t>
      </w:r>
      <w:r>
        <w:rPr>
          <w:rFonts w:hint="eastAsia" w:ascii="宋体" w:hAnsi="宋体" w:cs="宋体"/>
          <w:spacing w:val="1"/>
          <w:kern w:val="0"/>
          <w:szCs w:val="21"/>
        </w:rPr>
        <w:t>）</w:t>
      </w:r>
      <w:r>
        <w:rPr>
          <w:rFonts w:hint="eastAsia" w:ascii="宋体" w:hAnsi="宋体" w:cs="宋体"/>
          <w:kern w:val="0"/>
          <w:szCs w:val="21"/>
        </w:rPr>
        <w:t>的法定代</w:t>
      </w:r>
      <w:r>
        <w:rPr>
          <w:rFonts w:hint="eastAsia" w:ascii="宋体" w:hAnsi="宋体" w:cs="宋体"/>
          <w:spacing w:val="1"/>
          <w:kern w:val="0"/>
          <w:szCs w:val="21"/>
        </w:rPr>
        <w:t>表</w:t>
      </w:r>
      <w:r>
        <w:rPr>
          <w:rFonts w:hint="eastAsia" w:ascii="宋体" w:hAnsi="宋体" w:cs="宋体"/>
          <w:kern w:val="0"/>
          <w:szCs w:val="21"/>
        </w:rPr>
        <w:t>人（或单位负责人），现委托</w:t>
      </w:r>
      <w:r>
        <w:rPr>
          <w:rFonts w:hint="eastAsia" w:ascii="宋体" w:hAnsi="宋体" w:cs="宋体"/>
          <w:kern w:val="0"/>
          <w:szCs w:val="21"/>
          <w:u w:val="single"/>
        </w:rPr>
        <w:tab/>
      </w:r>
      <w:r>
        <w:rPr>
          <w:rFonts w:hint="eastAsia" w:ascii="宋体" w:hAnsi="宋体" w:cs="宋体"/>
          <w:kern w:val="0"/>
          <w:szCs w:val="21"/>
        </w:rPr>
        <w:t>（姓名和身份证号码）为我单位代理人。代理人根据授权，以我单位名义签署、澄清、说明、补正、递交、撤回、 修改</w:t>
      </w:r>
      <w:r>
        <w:rPr>
          <w:rFonts w:hint="eastAsia" w:ascii="宋体" w:hAnsi="宋体" w:cs="宋体"/>
          <w:kern w:val="0"/>
          <w:szCs w:val="21"/>
          <w:u w:val="single"/>
        </w:rPr>
        <w:tab/>
      </w:r>
      <w:r>
        <w:rPr>
          <w:rFonts w:hint="eastAsia" w:ascii="宋体" w:hAnsi="宋体" w:cs="宋体"/>
          <w:kern w:val="0"/>
          <w:szCs w:val="21"/>
        </w:rPr>
        <w:t>（项</w:t>
      </w:r>
      <w:r>
        <w:rPr>
          <w:rFonts w:hint="eastAsia" w:ascii="宋体" w:hAnsi="宋体" w:cs="宋体"/>
          <w:spacing w:val="-1"/>
          <w:kern w:val="0"/>
          <w:szCs w:val="21"/>
        </w:rPr>
        <w:t>目</w:t>
      </w:r>
      <w:r>
        <w:rPr>
          <w:rFonts w:hint="eastAsia" w:ascii="宋体" w:hAnsi="宋体" w:cs="宋体"/>
          <w:kern w:val="0"/>
          <w:szCs w:val="21"/>
        </w:rPr>
        <w:t>名称）响应文件、签订合同和处理有关事宜， 其法律后果由我单位承担。</w:t>
      </w:r>
    </w:p>
    <w:p w14:paraId="1D6AFBC9">
      <w:pPr>
        <w:tabs>
          <w:tab w:val="left" w:pos="1890"/>
          <w:tab w:val="left" w:pos="4215"/>
          <w:tab w:val="left" w:pos="4305"/>
          <w:tab w:val="left" w:pos="8000"/>
        </w:tabs>
        <w:autoSpaceDE w:val="0"/>
        <w:autoSpaceDN w:val="0"/>
        <w:adjustRightInd w:val="0"/>
        <w:snapToGrid w:val="0"/>
        <w:spacing w:line="420" w:lineRule="exact"/>
        <w:ind w:firstLine="420"/>
        <w:rPr>
          <w:rFonts w:hint="eastAsia" w:ascii="宋体" w:hAnsi="宋体" w:cs="宋体"/>
          <w:kern w:val="0"/>
          <w:szCs w:val="21"/>
        </w:rPr>
      </w:pPr>
      <w:r>
        <w:rPr>
          <w:rFonts w:hint="eastAsia" w:ascii="宋体" w:hAnsi="宋体" w:cs="宋体"/>
          <w:kern w:val="0"/>
          <w:szCs w:val="21"/>
        </w:rPr>
        <w:t>委托</w:t>
      </w:r>
      <w:r>
        <w:rPr>
          <w:rFonts w:hint="eastAsia" w:ascii="宋体" w:hAnsi="宋体" w:cs="宋体"/>
          <w:spacing w:val="-1"/>
          <w:kern w:val="0"/>
          <w:szCs w:val="21"/>
        </w:rPr>
        <w:t>期</w:t>
      </w:r>
      <w:r>
        <w:rPr>
          <w:rFonts w:hint="eastAsia" w:ascii="宋体" w:hAnsi="宋体" w:cs="宋体"/>
          <w:kern w:val="0"/>
          <w:szCs w:val="21"/>
        </w:rPr>
        <w:t>限：</w:t>
      </w:r>
      <w:r>
        <w:rPr>
          <w:rFonts w:hint="eastAsia" w:ascii="宋体" w:hAnsi="宋体" w:cs="宋体"/>
          <w:kern w:val="0"/>
          <w:szCs w:val="21"/>
          <w:u w:val="single"/>
        </w:rPr>
        <w:tab/>
      </w:r>
      <w:r>
        <w:rPr>
          <w:rFonts w:hint="eastAsia" w:ascii="宋体" w:hAnsi="宋体" w:cs="宋体"/>
          <w:kern w:val="0"/>
          <w:szCs w:val="21"/>
          <w:u w:val="single"/>
        </w:rPr>
        <w:t xml:space="preserve">       </w:t>
      </w:r>
      <w:r>
        <w:rPr>
          <w:rFonts w:hint="eastAsia" w:ascii="宋体" w:hAnsi="宋体" w:cs="宋体"/>
          <w:kern w:val="0"/>
          <w:szCs w:val="21"/>
        </w:rPr>
        <w:t xml:space="preserve">。 </w:t>
      </w:r>
    </w:p>
    <w:p w14:paraId="2C4A1DD2">
      <w:pPr>
        <w:tabs>
          <w:tab w:val="left" w:pos="1680"/>
          <w:tab w:val="left" w:pos="4215"/>
          <w:tab w:val="left" w:pos="4305"/>
          <w:tab w:val="left" w:pos="8000"/>
        </w:tabs>
        <w:autoSpaceDE w:val="0"/>
        <w:autoSpaceDN w:val="0"/>
        <w:adjustRightInd w:val="0"/>
        <w:snapToGrid w:val="0"/>
        <w:spacing w:line="420" w:lineRule="exact"/>
        <w:ind w:firstLine="420"/>
        <w:rPr>
          <w:rFonts w:hint="eastAsia" w:ascii="宋体" w:hAnsi="宋体" w:cs="宋体"/>
          <w:kern w:val="0"/>
          <w:szCs w:val="21"/>
        </w:rPr>
      </w:pPr>
      <w:r>
        <w:rPr>
          <w:rFonts w:hint="eastAsia" w:ascii="宋体" w:hAnsi="宋体" w:cs="宋体"/>
          <w:kern w:val="0"/>
          <w:szCs w:val="21"/>
        </w:rPr>
        <w:t>代理人无转委托权。</w:t>
      </w:r>
    </w:p>
    <w:p w14:paraId="3266C5ED">
      <w:pPr>
        <w:spacing w:line="420" w:lineRule="exact"/>
        <w:rPr>
          <w:rFonts w:hint="eastAsia" w:ascii="宋体" w:hAnsi="宋体" w:cs="宋体"/>
          <w:szCs w:val="21"/>
        </w:rPr>
      </w:pPr>
      <w:r>
        <w:rPr>
          <w:rFonts w:ascii="宋体" w:hAnsi="宋体" w:cs="宋体"/>
          <w:szCs w:val="21"/>
        </w:rPr>
        <mc:AlternateContent>
          <mc:Choice Requires="wps">
            <w:drawing>
              <wp:anchor distT="0" distB="0" distL="114300" distR="114300" simplePos="0" relativeHeight="251666432" behindDoc="0" locked="0" layoutInCell="1" allowOverlap="1">
                <wp:simplePos x="0" y="0"/>
                <wp:positionH relativeFrom="column">
                  <wp:posOffset>739775</wp:posOffset>
                </wp:positionH>
                <wp:positionV relativeFrom="paragraph">
                  <wp:posOffset>137160</wp:posOffset>
                </wp:positionV>
                <wp:extent cx="4850765" cy="1905000"/>
                <wp:effectExtent l="0" t="0" r="26035" b="19050"/>
                <wp:wrapNone/>
                <wp:docPr id="771222835" name="文本框 1"/>
                <wp:cNvGraphicFramePr/>
                <a:graphic xmlns:a="http://schemas.openxmlformats.org/drawingml/2006/main">
                  <a:graphicData uri="http://schemas.microsoft.com/office/word/2010/wordprocessingShape">
                    <wps:wsp>
                      <wps:cNvSpPr txBox="1">
                        <a:spLocks noChangeArrowheads="1"/>
                      </wps:cNvSpPr>
                      <wps:spPr bwMode="auto">
                        <a:xfrm>
                          <a:off x="0" y="0"/>
                          <a:ext cx="4850765" cy="1905000"/>
                        </a:xfrm>
                        <a:prstGeom prst="rect">
                          <a:avLst/>
                        </a:prstGeom>
                        <a:solidFill>
                          <a:srgbClr val="FFFFFF"/>
                        </a:solidFill>
                        <a:ln w="9525">
                          <a:solidFill>
                            <a:srgbClr val="000000"/>
                          </a:solidFill>
                          <a:miter lim="800000"/>
                        </a:ln>
                        <a:effectLst/>
                      </wps:spPr>
                      <wps:txbx>
                        <w:txbxContent>
                          <w:p w14:paraId="0164C5F1">
                            <w:pPr>
                              <w:jc w:val="center"/>
                              <w:rPr>
                                <w:rFonts w:hint="eastAsia" w:ascii="宋体" w:hAnsi="宋体" w:cs="Arial"/>
                                <w:b/>
                                <w:sz w:val="24"/>
                              </w:rPr>
                            </w:pPr>
                          </w:p>
                          <w:p w14:paraId="120A621B">
                            <w:pPr>
                              <w:jc w:val="center"/>
                              <w:rPr>
                                <w:rFonts w:hint="eastAsia" w:ascii="宋体" w:hAnsi="宋体" w:cs="Arial"/>
                                <w:b/>
                                <w:sz w:val="24"/>
                              </w:rPr>
                            </w:pPr>
                          </w:p>
                          <w:p w14:paraId="33625816">
                            <w:pPr>
                              <w:jc w:val="center"/>
                              <w:rPr>
                                <w:rFonts w:hint="eastAsia" w:ascii="宋体" w:hAnsi="宋体" w:cs="Arial"/>
                                <w:b/>
                                <w:sz w:val="24"/>
                              </w:rPr>
                            </w:pPr>
                          </w:p>
                          <w:p w14:paraId="5EDA24C3">
                            <w:pPr>
                              <w:jc w:val="center"/>
                              <w:rPr>
                                <w:rFonts w:hint="eastAsia" w:ascii="宋体" w:hAnsi="宋体" w:cs="Arial"/>
                                <w:b/>
                                <w:sz w:val="24"/>
                              </w:rPr>
                            </w:pPr>
                          </w:p>
                          <w:p w14:paraId="71C12A16">
                            <w:pPr>
                              <w:jc w:val="center"/>
                            </w:pPr>
                            <w:r>
                              <w:rPr>
                                <w:rFonts w:hint="eastAsia" w:ascii="宋体" w:hAnsi="宋体" w:cs="Arial"/>
                                <w:b/>
                                <w:sz w:val="24"/>
                              </w:rPr>
                              <w:t>委托</w:t>
                            </w:r>
                            <w:r>
                              <w:rPr>
                                <w:rFonts w:ascii="宋体" w:hAnsi="宋体" w:cs="Arial"/>
                                <w:b/>
                                <w:sz w:val="24"/>
                              </w:rPr>
                              <w:t>代理人身份证</w:t>
                            </w:r>
                            <w:r>
                              <w:rPr>
                                <w:rFonts w:hint="eastAsia" w:ascii="宋体" w:hAnsi="宋体" w:cs="Arial"/>
                                <w:b/>
                                <w:sz w:val="24"/>
                              </w:rPr>
                              <w:t>双面</w:t>
                            </w:r>
                            <w:r>
                              <w:rPr>
                                <w:rFonts w:ascii="宋体" w:hAnsi="宋体" w:cs="Arial"/>
                                <w:b/>
                                <w:sz w:val="24"/>
                              </w:rPr>
                              <w:t>复印件</w:t>
                            </w:r>
                          </w:p>
                        </w:txbxContent>
                      </wps:txbx>
                      <wps:bodyPr rot="0" vert="horz" wrap="square" lIns="91440" tIns="45720" rIns="91440" bIns="45720" anchor="t" anchorCtr="0" upright="1">
                        <a:noAutofit/>
                      </wps:bodyPr>
                    </wps:wsp>
                  </a:graphicData>
                </a:graphic>
              </wp:anchor>
            </w:drawing>
          </mc:Choice>
          <mc:Fallback>
            <w:pict>
              <v:shape id="文本框 1" o:spid="_x0000_s1026" o:spt="202" type="#_x0000_t202" style="position:absolute;left:0pt;margin-left:58.25pt;margin-top:10.8pt;height:150pt;width:381.95pt;z-index:251666432;mso-width-relative:page;mso-height-relative:page;" fillcolor="#FFFFFF" filled="t" stroked="t" coordsize="21600,21600" o:gfxdata="UEsDBAoAAAAAAIdO4kAAAAAAAAAAAAAAAAAEAAAAZHJzL1BLAwQUAAAACACHTuJAc6mFwNgAAAAK&#10;AQAADwAAAGRycy9kb3ducmV2LnhtbE2PwU7DMAyG70i8Q2QkLogl3UYppekOSCC4jYHgmrVeW5E4&#10;Jcm68fZ4Jzj+9qffn6vV0VkxYYiDJw3ZTIFAanw7UKfh/e3xugARk6HWWE+o4QcjrOrzs8qUrT/Q&#10;K06b1AkuoVgaDX1KYyllbHp0Js78iMS7nQ/OJI6hk20wBy53Vs6VyqUzA/GF3oz40GPztdk7DcXy&#10;efqML4v1R5Pv7F26up2evoPWlxeZugeR8Jj+YDjpszrU7LT1e2qjsJyz/IZRDfMsB8FAUagliK2G&#10;xWki60r+f6H+BVBLAwQUAAAACACHTuJAsKUAbFMCAACeBAAADgAAAGRycy9lMm9Eb2MueG1srVRL&#10;btswEN0X6B0I7mvJqh1/YDlIHaQokH6AtAegKcoiSnJYkrbkHqC9QVfddN9z+RwdUk7ipCiQRbUQ&#10;OJrhmzdvZrQ477QiO+G8BFPS4SCnRBgOlTSbkn76ePViSokPzFRMgREl3QtPz5fPny1aOxcFNKAq&#10;4QiCGD9vbUmbEOw8yzxvhGZ+AFYYdNbgNAtouk1WOdYiulZZkednWQuusg648B6/XvZOekR0TwGE&#10;upZcXALfamFCj+qEYgFL8o20ni4T27oWPLyvay8CUSXFSkN6YxI8r+M7Wy7YfOOYbSQ/UmBPofCo&#10;Js2kwaR3UJcsMLJ18i8oLbkDD3UYcNBZX0hSBKsY5o+0uWmYFakWlNrbO9H9/4Pl73YfHJFVSSeT&#10;YVEU05djSgzT2PjDj++Hn78Pv76RYZSptX6O0TcW40P3CjocnlSyt9fAP3tiYNUwsxEXzkHbCFYh&#10;zXQzO7na4/gIsm7fQoV52DZAAupqp6OGqApBdGzR/q5FoguE48fRdJxPzpAjR99wlo/zPDUxY/Pb&#10;69b58FqAJvFQUoczkODZ7toHLARDb0NiNg9KVldSqWS4zXqlHNkxnJer9MTa8cqDMGVIW9LZuBj3&#10;CvwTAtndE3wAoWXANVJSl3R6GqRM5CHS6B75RvmiYr12oVt3x3asodqjkA76scalxkMD7islLY50&#10;Sf2XLXOCEvXGYDNmw9Eo7kAyRuNJgYY79axPPcxwhCppoKQ/rkK/N1vr5KbBTH37DVxgA2uZpI1U&#10;e1YoWjRwbJN8xxWLe3Fqp6j738ry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HOphcDYAAAACgEA&#10;AA8AAAAAAAAAAQAgAAAAIgAAAGRycy9kb3ducmV2LnhtbFBLAQIUABQAAAAIAIdO4kCwpQBsUwIA&#10;AJ4EAAAOAAAAAAAAAAEAIAAAACcBAABkcnMvZTJvRG9jLnhtbFBLBQYAAAAABgAGAFkBAADsBQAA&#10;AAA=&#10;">
                <v:fill on="t" focussize="0,0"/>
                <v:stroke color="#000000" miterlimit="8" joinstyle="miter"/>
                <v:imagedata o:title=""/>
                <o:lock v:ext="edit" aspectratio="f"/>
                <v:textbox>
                  <w:txbxContent>
                    <w:p w14:paraId="0164C5F1">
                      <w:pPr>
                        <w:jc w:val="center"/>
                        <w:rPr>
                          <w:rFonts w:hint="eastAsia" w:ascii="宋体" w:hAnsi="宋体" w:cs="Arial"/>
                          <w:b/>
                          <w:sz w:val="24"/>
                        </w:rPr>
                      </w:pPr>
                    </w:p>
                    <w:p w14:paraId="120A621B">
                      <w:pPr>
                        <w:jc w:val="center"/>
                        <w:rPr>
                          <w:rFonts w:hint="eastAsia" w:ascii="宋体" w:hAnsi="宋体" w:cs="Arial"/>
                          <w:b/>
                          <w:sz w:val="24"/>
                        </w:rPr>
                      </w:pPr>
                    </w:p>
                    <w:p w14:paraId="33625816">
                      <w:pPr>
                        <w:jc w:val="center"/>
                        <w:rPr>
                          <w:rFonts w:hint="eastAsia" w:ascii="宋体" w:hAnsi="宋体" w:cs="Arial"/>
                          <w:b/>
                          <w:sz w:val="24"/>
                        </w:rPr>
                      </w:pPr>
                    </w:p>
                    <w:p w14:paraId="5EDA24C3">
                      <w:pPr>
                        <w:jc w:val="center"/>
                        <w:rPr>
                          <w:rFonts w:hint="eastAsia" w:ascii="宋体" w:hAnsi="宋体" w:cs="Arial"/>
                          <w:b/>
                          <w:sz w:val="24"/>
                        </w:rPr>
                      </w:pPr>
                    </w:p>
                    <w:p w14:paraId="71C12A16">
                      <w:pPr>
                        <w:jc w:val="center"/>
                      </w:pPr>
                      <w:r>
                        <w:rPr>
                          <w:rFonts w:hint="eastAsia" w:ascii="宋体" w:hAnsi="宋体" w:cs="Arial"/>
                          <w:b/>
                          <w:sz w:val="24"/>
                        </w:rPr>
                        <w:t>委托</w:t>
                      </w:r>
                      <w:r>
                        <w:rPr>
                          <w:rFonts w:ascii="宋体" w:hAnsi="宋体" w:cs="Arial"/>
                          <w:b/>
                          <w:sz w:val="24"/>
                        </w:rPr>
                        <w:t>代理人身份证</w:t>
                      </w:r>
                      <w:r>
                        <w:rPr>
                          <w:rFonts w:hint="eastAsia" w:ascii="宋体" w:hAnsi="宋体" w:cs="Arial"/>
                          <w:b/>
                          <w:sz w:val="24"/>
                        </w:rPr>
                        <w:t>双面</w:t>
                      </w:r>
                      <w:r>
                        <w:rPr>
                          <w:rFonts w:ascii="宋体" w:hAnsi="宋体" w:cs="Arial"/>
                          <w:b/>
                          <w:sz w:val="24"/>
                        </w:rPr>
                        <w:t>复印件</w:t>
                      </w:r>
                    </w:p>
                  </w:txbxContent>
                </v:textbox>
              </v:shape>
            </w:pict>
          </mc:Fallback>
        </mc:AlternateContent>
      </w:r>
    </w:p>
    <w:p w14:paraId="2BC3D743">
      <w:pPr>
        <w:spacing w:line="420" w:lineRule="exact"/>
        <w:rPr>
          <w:rFonts w:hint="eastAsia" w:ascii="宋体" w:hAnsi="宋体" w:cs="宋体"/>
          <w:szCs w:val="21"/>
        </w:rPr>
      </w:pPr>
    </w:p>
    <w:p w14:paraId="1325E7BB">
      <w:pPr>
        <w:spacing w:line="420" w:lineRule="exact"/>
        <w:rPr>
          <w:rFonts w:hint="eastAsia" w:ascii="宋体" w:hAnsi="宋体" w:cs="宋体"/>
          <w:szCs w:val="21"/>
        </w:rPr>
      </w:pPr>
    </w:p>
    <w:p w14:paraId="3037A1DD">
      <w:pPr>
        <w:spacing w:line="420" w:lineRule="exact"/>
        <w:rPr>
          <w:rFonts w:hint="eastAsia" w:ascii="宋体" w:hAnsi="宋体" w:cs="宋体"/>
          <w:szCs w:val="21"/>
        </w:rPr>
      </w:pPr>
    </w:p>
    <w:p w14:paraId="61496636">
      <w:pPr>
        <w:spacing w:line="420" w:lineRule="exact"/>
        <w:rPr>
          <w:rFonts w:hint="eastAsia" w:ascii="宋体" w:hAnsi="宋体" w:cs="宋体"/>
          <w:szCs w:val="21"/>
        </w:rPr>
      </w:pPr>
    </w:p>
    <w:p w14:paraId="57E31808">
      <w:pPr>
        <w:spacing w:line="420" w:lineRule="exact"/>
        <w:rPr>
          <w:rFonts w:hint="eastAsia" w:ascii="宋体" w:hAnsi="宋体" w:cs="宋体"/>
          <w:szCs w:val="21"/>
        </w:rPr>
      </w:pPr>
    </w:p>
    <w:p w14:paraId="3E1DD2C2">
      <w:pPr>
        <w:spacing w:line="420" w:lineRule="exact"/>
        <w:ind w:firstLine="420" w:firstLineChars="200"/>
        <w:rPr>
          <w:rFonts w:hint="eastAsia" w:ascii="宋体" w:hAnsi="宋体" w:cs="宋体"/>
          <w:szCs w:val="21"/>
        </w:rPr>
      </w:pPr>
    </w:p>
    <w:p w14:paraId="192B2CE1">
      <w:pPr>
        <w:autoSpaceDE w:val="0"/>
        <w:autoSpaceDN w:val="0"/>
        <w:adjustRightInd w:val="0"/>
        <w:snapToGrid w:val="0"/>
        <w:spacing w:line="420" w:lineRule="exact"/>
        <w:jc w:val="left"/>
        <w:rPr>
          <w:rFonts w:hint="eastAsia" w:ascii="宋体" w:hAnsi="宋体" w:cs="宋体"/>
          <w:kern w:val="0"/>
          <w:szCs w:val="21"/>
        </w:rPr>
      </w:pPr>
    </w:p>
    <w:p w14:paraId="28656365">
      <w:pPr>
        <w:tabs>
          <w:tab w:val="left" w:pos="6300"/>
        </w:tabs>
        <w:autoSpaceDE w:val="0"/>
        <w:autoSpaceDN w:val="0"/>
        <w:adjustRightInd w:val="0"/>
        <w:snapToGrid w:val="0"/>
        <w:spacing w:line="420" w:lineRule="exact"/>
        <w:ind w:firstLine="1694"/>
        <w:jc w:val="left"/>
        <w:rPr>
          <w:rFonts w:hint="eastAsia" w:ascii="宋体" w:hAnsi="宋体" w:cs="宋体"/>
          <w:kern w:val="0"/>
          <w:szCs w:val="21"/>
        </w:rPr>
      </w:pPr>
      <w:r>
        <w:rPr>
          <w:rFonts w:hint="eastAsia" w:ascii="宋体" w:hAnsi="宋体" w:cs="宋体"/>
          <w:kern w:val="0"/>
          <w:szCs w:val="21"/>
        </w:rPr>
        <w:t>比选供应商：</w:t>
      </w:r>
      <w:r>
        <w:rPr>
          <w:rFonts w:hint="eastAsia" w:ascii="宋体" w:hAnsi="宋体" w:cs="宋体"/>
          <w:kern w:val="0"/>
          <w:szCs w:val="21"/>
          <w:u w:val="single"/>
        </w:rPr>
        <w:tab/>
      </w:r>
      <w:r>
        <w:rPr>
          <w:rFonts w:hint="eastAsia" w:ascii="宋体" w:hAnsi="宋体" w:cs="宋体"/>
          <w:kern w:val="0"/>
          <w:szCs w:val="21"/>
        </w:rPr>
        <w:t>（</w:t>
      </w:r>
      <w:r>
        <w:rPr>
          <w:rFonts w:hint="eastAsia" w:ascii="宋体" w:hAnsi="宋体" w:cs="宋体"/>
          <w:spacing w:val="-1"/>
          <w:kern w:val="0"/>
          <w:szCs w:val="21"/>
        </w:rPr>
        <w:t>盖</w:t>
      </w:r>
      <w:r>
        <w:rPr>
          <w:rFonts w:hint="eastAsia" w:ascii="宋体" w:hAnsi="宋体" w:cs="宋体"/>
          <w:kern w:val="0"/>
          <w:szCs w:val="21"/>
        </w:rPr>
        <w:t xml:space="preserve">鲜公章） </w:t>
      </w:r>
    </w:p>
    <w:p w14:paraId="54A2E13F">
      <w:pPr>
        <w:tabs>
          <w:tab w:val="left" w:pos="6300"/>
        </w:tabs>
        <w:autoSpaceDE w:val="0"/>
        <w:autoSpaceDN w:val="0"/>
        <w:adjustRightInd w:val="0"/>
        <w:snapToGrid w:val="0"/>
        <w:spacing w:line="420" w:lineRule="exact"/>
        <w:ind w:firstLine="1680"/>
        <w:jc w:val="left"/>
        <w:rPr>
          <w:rFonts w:hint="eastAsia" w:ascii="宋体" w:hAnsi="宋体" w:cs="宋体"/>
          <w:kern w:val="0"/>
          <w:szCs w:val="21"/>
        </w:rPr>
      </w:pPr>
      <w:r>
        <w:rPr>
          <w:rFonts w:hint="eastAsia" w:ascii="宋体" w:hAnsi="宋体" w:cs="宋体"/>
          <w:kern w:val="0"/>
          <w:szCs w:val="21"/>
        </w:rPr>
        <w:t>法定代表人（或单位负责人）：</w:t>
      </w:r>
      <w:r>
        <w:rPr>
          <w:rFonts w:hint="eastAsia" w:ascii="宋体" w:hAnsi="宋体" w:cs="宋体"/>
          <w:kern w:val="0"/>
          <w:szCs w:val="21"/>
          <w:u w:val="single"/>
        </w:rPr>
        <w:tab/>
      </w:r>
      <w:r>
        <w:rPr>
          <w:rFonts w:hint="eastAsia" w:ascii="宋体" w:hAnsi="宋体" w:cs="宋体"/>
          <w:kern w:val="0"/>
          <w:szCs w:val="21"/>
          <w:u w:val="single"/>
        </w:rPr>
        <w:tab/>
      </w:r>
      <w:r>
        <w:rPr>
          <w:rFonts w:hint="eastAsia" w:ascii="宋体" w:hAnsi="宋体" w:cs="宋体"/>
          <w:kern w:val="0"/>
          <w:szCs w:val="21"/>
        </w:rPr>
        <w:t>（签字）</w:t>
      </w:r>
    </w:p>
    <w:p w14:paraId="07A819A3">
      <w:pPr>
        <w:tabs>
          <w:tab w:val="left" w:pos="5260"/>
        </w:tabs>
        <w:autoSpaceDE w:val="0"/>
        <w:autoSpaceDN w:val="0"/>
        <w:adjustRightInd w:val="0"/>
        <w:snapToGrid w:val="0"/>
        <w:spacing w:line="420" w:lineRule="exact"/>
        <w:ind w:firstLine="1680"/>
        <w:jc w:val="left"/>
        <w:rPr>
          <w:rFonts w:hint="eastAsia" w:ascii="宋体" w:hAnsi="宋体" w:cs="宋体"/>
          <w:kern w:val="0"/>
          <w:szCs w:val="21"/>
        </w:rPr>
      </w:pPr>
      <w:r>
        <w:rPr>
          <w:rFonts w:hint="eastAsia" w:ascii="宋体" w:hAnsi="宋体" w:cs="宋体"/>
          <w:kern w:val="0"/>
          <w:szCs w:val="21"/>
        </w:rPr>
        <w:t>身份证号码：</w:t>
      </w:r>
      <w:r>
        <w:rPr>
          <w:rFonts w:hint="eastAsia" w:ascii="宋体" w:hAnsi="宋体" w:cs="宋体"/>
          <w:kern w:val="0"/>
          <w:szCs w:val="21"/>
          <w:u w:val="single"/>
        </w:rPr>
        <w:tab/>
      </w:r>
    </w:p>
    <w:p w14:paraId="56EC3D55">
      <w:pPr>
        <w:tabs>
          <w:tab w:val="left" w:pos="6720"/>
        </w:tabs>
        <w:autoSpaceDE w:val="0"/>
        <w:autoSpaceDN w:val="0"/>
        <w:adjustRightInd w:val="0"/>
        <w:snapToGrid w:val="0"/>
        <w:spacing w:line="420" w:lineRule="exact"/>
        <w:ind w:firstLine="1680"/>
        <w:jc w:val="left"/>
        <w:rPr>
          <w:rFonts w:hint="eastAsia" w:ascii="宋体" w:hAnsi="宋体" w:cs="宋体"/>
          <w:kern w:val="0"/>
          <w:szCs w:val="21"/>
        </w:rPr>
      </w:pPr>
      <w:r>
        <w:rPr>
          <w:rFonts w:hint="eastAsia" w:ascii="宋体" w:hAnsi="宋体" w:cs="宋体"/>
          <w:kern w:val="0"/>
          <w:szCs w:val="21"/>
        </w:rPr>
        <w:t>委托代理人：</w:t>
      </w:r>
      <w:r>
        <w:rPr>
          <w:rFonts w:hint="eastAsia" w:ascii="宋体" w:hAnsi="宋体" w:cs="宋体"/>
          <w:kern w:val="0"/>
          <w:szCs w:val="21"/>
          <w:u w:val="single"/>
        </w:rPr>
        <w:tab/>
      </w:r>
      <w:r>
        <w:rPr>
          <w:rFonts w:hint="eastAsia" w:ascii="宋体" w:hAnsi="宋体" w:cs="宋体"/>
          <w:kern w:val="0"/>
          <w:szCs w:val="21"/>
        </w:rPr>
        <w:t>（签</w:t>
      </w:r>
      <w:r>
        <w:rPr>
          <w:rFonts w:hint="eastAsia" w:ascii="宋体" w:hAnsi="宋体" w:cs="宋体"/>
          <w:spacing w:val="-1"/>
          <w:kern w:val="0"/>
          <w:szCs w:val="21"/>
        </w:rPr>
        <w:t>字</w:t>
      </w:r>
      <w:r>
        <w:rPr>
          <w:rFonts w:hint="eastAsia" w:ascii="宋体" w:hAnsi="宋体" w:cs="宋体"/>
          <w:kern w:val="0"/>
          <w:szCs w:val="21"/>
        </w:rPr>
        <w:t>）</w:t>
      </w:r>
    </w:p>
    <w:p w14:paraId="3FF9CBC8">
      <w:pPr>
        <w:tabs>
          <w:tab w:val="left" w:pos="6825"/>
        </w:tabs>
        <w:autoSpaceDE w:val="0"/>
        <w:autoSpaceDN w:val="0"/>
        <w:adjustRightInd w:val="0"/>
        <w:snapToGrid w:val="0"/>
        <w:spacing w:line="420" w:lineRule="exact"/>
        <w:ind w:firstLine="1680"/>
        <w:jc w:val="left"/>
        <w:rPr>
          <w:rFonts w:hint="eastAsia" w:ascii="宋体" w:hAnsi="宋体" w:cs="宋体"/>
          <w:kern w:val="0"/>
          <w:szCs w:val="21"/>
        </w:rPr>
      </w:pPr>
      <w:r>
        <w:rPr>
          <w:rFonts w:hint="eastAsia" w:ascii="宋体" w:hAnsi="宋体" w:cs="宋体"/>
          <w:kern w:val="0"/>
          <w:szCs w:val="21"/>
        </w:rPr>
        <w:t>身份证号码：</w:t>
      </w:r>
      <w:r>
        <w:rPr>
          <w:rFonts w:hint="eastAsia" w:ascii="宋体" w:hAnsi="宋体" w:cs="宋体"/>
          <w:kern w:val="0"/>
          <w:szCs w:val="21"/>
          <w:u w:val="single"/>
        </w:rPr>
        <w:tab/>
      </w:r>
    </w:p>
    <w:p w14:paraId="6D0B92B1">
      <w:pPr>
        <w:tabs>
          <w:tab w:val="left" w:pos="4320"/>
          <w:tab w:val="left" w:pos="5040"/>
        </w:tabs>
        <w:autoSpaceDE w:val="0"/>
        <w:autoSpaceDN w:val="0"/>
        <w:adjustRightInd w:val="0"/>
        <w:snapToGrid w:val="0"/>
        <w:spacing w:line="420" w:lineRule="exact"/>
        <w:ind w:firstLine="3780"/>
        <w:jc w:val="left"/>
        <w:rPr>
          <w:rFonts w:hint="eastAsia" w:ascii="宋体" w:hAnsi="宋体" w:cs="宋体"/>
          <w:kern w:val="0"/>
          <w:szCs w:val="21"/>
        </w:rPr>
      </w:pPr>
      <w:r>
        <w:rPr>
          <w:rFonts w:hint="eastAsia" w:ascii="宋体" w:hAnsi="宋体" w:cs="宋体"/>
          <w:kern w:val="0"/>
          <w:szCs w:val="21"/>
          <w:u w:val="single"/>
        </w:rPr>
        <w:tab/>
      </w:r>
      <w:r>
        <w:rPr>
          <w:rFonts w:hint="eastAsia" w:ascii="宋体" w:hAnsi="宋体" w:cs="宋体"/>
          <w:kern w:val="0"/>
          <w:szCs w:val="21"/>
        </w:rPr>
        <w:t>年</w:t>
      </w:r>
      <w:r>
        <w:rPr>
          <w:rFonts w:hint="eastAsia" w:ascii="宋体" w:hAnsi="宋体" w:cs="宋体"/>
          <w:kern w:val="0"/>
          <w:szCs w:val="21"/>
          <w:u w:val="single"/>
        </w:rPr>
        <w:tab/>
      </w:r>
      <w:r>
        <w:rPr>
          <w:rFonts w:hint="eastAsia" w:ascii="宋体" w:hAnsi="宋体" w:cs="宋体"/>
          <w:kern w:val="0"/>
          <w:szCs w:val="21"/>
        </w:rPr>
        <w:t>月</w:t>
      </w:r>
      <w:r>
        <w:rPr>
          <w:rFonts w:hint="eastAsia" w:ascii="宋体" w:hAnsi="宋体" w:cs="宋体"/>
          <w:kern w:val="0"/>
          <w:szCs w:val="21"/>
          <w:u w:val="single"/>
        </w:rPr>
        <w:tab/>
      </w:r>
      <w:r>
        <w:rPr>
          <w:rFonts w:ascii="宋体" w:hAnsi="宋体" w:cs="宋体"/>
          <w:kern w:val="0"/>
          <w:szCs w:val="21"/>
          <w:u w:val="single"/>
        </w:rPr>
        <w:t xml:space="preserve">   </w:t>
      </w:r>
      <w:r>
        <w:rPr>
          <w:rFonts w:hint="eastAsia" w:ascii="宋体" w:hAnsi="宋体" w:cs="宋体"/>
          <w:kern w:val="0"/>
          <w:szCs w:val="21"/>
        </w:rPr>
        <w:t>日</w:t>
      </w:r>
    </w:p>
    <w:p w14:paraId="700784BD">
      <w:pPr>
        <w:autoSpaceDE w:val="0"/>
        <w:autoSpaceDN w:val="0"/>
        <w:adjustRightInd w:val="0"/>
        <w:snapToGrid w:val="0"/>
        <w:spacing w:line="420" w:lineRule="exact"/>
        <w:jc w:val="left"/>
        <w:rPr>
          <w:rFonts w:hint="eastAsia" w:ascii="宋体" w:hAnsi="宋体" w:cs="宋体"/>
          <w:kern w:val="0"/>
          <w:szCs w:val="21"/>
        </w:rPr>
      </w:pPr>
    </w:p>
    <w:p w14:paraId="6B7C2AFD">
      <w:pPr>
        <w:autoSpaceDE w:val="0"/>
        <w:autoSpaceDN w:val="0"/>
        <w:adjustRightInd w:val="0"/>
        <w:snapToGrid w:val="0"/>
        <w:spacing w:line="420" w:lineRule="exact"/>
        <w:jc w:val="left"/>
        <w:rPr>
          <w:rFonts w:hint="eastAsia" w:ascii="宋体" w:hAnsi="宋体" w:cs="宋体"/>
          <w:kern w:val="0"/>
          <w:szCs w:val="21"/>
        </w:rPr>
      </w:pPr>
    </w:p>
    <w:p w14:paraId="158A0E25">
      <w:pPr>
        <w:autoSpaceDE w:val="0"/>
        <w:autoSpaceDN w:val="0"/>
        <w:adjustRightInd w:val="0"/>
        <w:snapToGrid w:val="0"/>
        <w:spacing w:line="420" w:lineRule="exact"/>
        <w:jc w:val="left"/>
        <w:rPr>
          <w:rFonts w:hint="eastAsia" w:ascii="宋体" w:hAnsi="宋体" w:cs="宋体"/>
          <w:kern w:val="0"/>
          <w:szCs w:val="21"/>
        </w:rPr>
      </w:pPr>
      <w:r>
        <w:rPr>
          <w:rFonts w:ascii="宋体" w:hAnsi="宋体" w:cs="宋体"/>
          <w:kern w:val="0"/>
          <w:szCs w:val="21"/>
        </w:rPr>
        <mc:AlternateContent>
          <mc:Choice Requires="wps">
            <w:drawing>
              <wp:anchor distT="0" distB="0" distL="114300" distR="114300" simplePos="0" relativeHeight="251664384" behindDoc="0" locked="0" layoutInCell="1" allowOverlap="1">
                <wp:simplePos x="0" y="0"/>
                <wp:positionH relativeFrom="column">
                  <wp:posOffset>-66675</wp:posOffset>
                </wp:positionH>
                <wp:positionV relativeFrom="paragraph">
                  <wp:posOffset>234950</wp:posOffset>
                </wp:positionV>
                <wp:extent cx="5949315" cy="0"/>
                <wp:effectExtent l="0" t="0" r="13335" b="19050"/>
                <wp:wrapNone/>
                <wp:docPr id="422153804" name="直接连接符 422153804"/>
                <wp:cNvGraphicFramePr/>
                <a:graphic xmlns:a="http://schemas.openxmlformats.org/drawingml/2006/main">
                  <a:graphicData uri="http://schemas.microsoft.com/office/word/2010/wordprocessingShape">
                    <wps:wsp>
                      <wps:cNvCnPr>
                        <a:cxnSpLocks noChangeShapeType="1"/>
                      </wps:cNvCnPr>
                      <wps:spPr bwMode="auto">
                        <a:xfrm>
                          <a:off x="0" y="0"/>
                          <a:ext cx="5949315" cy="0"/>
                        </a:xfrm>
                        <a:prstGeom prst="line">
                          <a:avLst/>
                        </a:prstGeom>
                        <a:noFill/>
                        <a:ln w="3175">
                          <a:solidFill>
                            <a:srgbClr val="000000"/>
                          </a:solidFill>
                          <a:round/>
                        </a:ln>
                        <a:effectLst/>
                      </wps:spPr>
                      <wps:bodyPr/>
                    </wps:wsp>
                  </a:graphicData>
                </a:graphic>
              </wp:anchor>
            </w:drawing>
          </mc:Choice>
          <mc:Fallback>
            <w:pict>
              <v:line id="_x0000_s1026" o:spid="_x0000_s1026" o:spt="20" style="position:absolute;left:0pt;margin-left:-5.25pt;margin-top:18.5pt;height:0pt;width:468.45pt;z-index:251664384;mso-width-relative:page;mso-height-relative:page;" filled="f" stroked="t" coordsize="21600,21600" o:gfxdata="UEsDBAoAAAAAAIdO4kAAAAAAAAAAAAAAAAAEAAAAZHJzL1BLAwQUAAAACACHTuJAWdqChdgAAAAJ&#10;AQAADwAAAGRycy9kb3ducmV2LnhtbE2PwU7DMAyG70i8Q2QkblvSAQVK00mt4LADk9iQgFvWmLai&#10;cUqTbuPtMeIAR9uffn9/vjy6XuxxDJ0nDclcgUCqve2o0fC8fZjdgAjRkDW9J9TwhQGWxelJbjLr&#10;D/SE+01sBIdQyIyGNsYhkzLULToT5n5A4tu7H52JPI6NtKM5cLjr5UKpVDrTEX9ozYBVi/XHZnIa&#10;Ynh5Xcdp9Vmm5WOF2/Ktupcrrc/PEnUHIuIx/sHwo8/qULDTzk9kg+g1zBJ1xaiGi2vuxMDtIr0E&#10;sftdyCKX/xsU31BLAwQUAAAACACHTuJADnLutvMBAADIAwAADgAAAGRycy9lMm9Eb2MueG1srVNL&#10;btswEN0X6B0I7mtZ/rSJYDkLG+kmbQ0kOQBNURZRkkOQtCVfohco0F276jL73qbpMTqkLefTTRbV&#10;guBwZt7MezOaXXRakZ1wXoIpaT4YUiIMh0qaTUlvby7fnFHiAzMVU2BESffC04v561ez1hZiBA2o&#10;SjiCIMYXrS1pE4ItsszzRmjmB2CFQWcNTrOApttklWMtomuVjYbDt1kLrrIOuPAeX5cHJz0iupcA&#10;Ql1LLpbAt1qYcEB1QrGAlHwjrafz1G1dCx4+1bUXgaiSItOQTiyC93U8s/mMFRvHbCP5sQX2khae&#10;cdJMGix6glqywMjWyX+gtOQOPNRhwEFnByJJEWSRD59pc90wKxIXlNrbk+j+/8Hyj7uVI7Iq6WQ0&#10;yqfjs+GEEsM0Dv7+693vL9///PqG5/3PH+QhAEVrrS8wd2FWLtLmnbm2V8A/e2Jg0TCzEan5m71F&#10;pDzKnD1JiYa3WHrdfoAKY9g2QFKwq52OkKgN6dKg9qdBiS4Qjo/T88n5OJ9Swntfxoo+0Tof3gvQ&#10;JF5KqqSJGrKC7a58iI2wog+JzwYupVJpD5QhbUnH+btpSvCgZBWdMcy7zXqhHNmxuEnpS6zQ8zjM&#10;wdZUhyLKxDyRlvBYuWd90G8N1X7lemlwwKm34zLGDXpsJwEffsD5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nagoXYAAAACQEAAA8AAAAAAAAAAQAgAAAAIgAAAGRycy9kb3ducmV2LnhtbFBLAQIU&#10;ABQAAAAIAIdO4kAOcu628wEAAMgDAAAOAAAAAAAAAAEAIAAAACcBAABkcnMvZTJvRG9jLnhtbFBL&#10;BQYAAAAABgAGAFkBAACMBQAAAAA=&#10;">
                <v:fill on="f" focussize="0,0"/>
                <v:stroke weight="0.25pt" color="#000000" joinstyle="round"/>
                <v:imagedata o:title=""/>
                <o:lock v:ext="edit" aspectratio="f"/>
              </v:line>
            </w:pict>
          </mc:Fallback>
        </mc:AlternateContent>
      </w:r>
    </w:p>
    <w:p w14:paraId="6C4D5A03">
      <w:pPr>
        <w:tabs>
          <w:tab w:val="left" w:pos="5760"/>
        </w:tabs>
        <w:autoSpaceDE w:val="0"/>
        <w:autoSpaceDN w:val="0"/>
        <w:adjustRightInd w:val="0"/>
        <w:spacing w:line="420" w:lineRule="exact"/>
        <w:ind w:left="735" w:hanging="735" w:hangingChars="350"/>
        <w:rPr>
          <w:rFonts w:hint="eastAsia" w:ascii="宋体" w:hAnsi="宋体" w:cs="宋体"/>
          <w:kern w:val="0"/>
          <w:szCs w:val="21"/>
        </w:rPr>
      </w:pPr>
      <w:r>
        <w:rPr>
          <w:rFonts w:hint="eastAsia" w:ascii="宋体" w:hAnsi="宋体" w:cs="宋体"/>
          <w:kern w:val="0"/>
          <w:szCs w:val="21"/>
        </w:rPr>
        <w:t>注：法定代表人（或单位负责人）参加比选活动并签署文件的不需要授权委托书，只需提供法定代</w:t>
      </w:r>
    </w:p>
    <w:p w14:paraId="6E83043F">
      <w:pPr>
        <w:tabs>
          <w:tab w:val="left" w:pos="5760"/>
        </w:tabs>
        <w:autoSpaceDE w:val="0"/>
        <w:autoSpaceDN w:val="0"/>
        <w:adjustRightInd w:val="0"/>
        <w:spacing w:line="420" w:lineRule="exact"/>
        <w:ind w:firstLine="420" w:firstLineChars="200"/>
        <w:rPr>
          <w:rFonts w:hint="eastAsia" w:ascii="宋体" w:hAnsi="宋体" w:cs="宋体"/>
          <w:kern w:val="0"/>
          <w:szCs w:val="21"/>
        </w:rPr>
      </w:pPr>
      <w:r>
        <w:rPr>
          <w:rFonts w:hint="eastAsia" w:ascii="宋体" w:hAnsi="宋体" w:cs="宋体"/>
          <w:kern w:val="0"/>
          <w:szCs w:val="21"/>
        </w:rPr>
        <w:t>表人（或单位负责人）身份证明；非法定代表人（或单位负责人）参加比选活动及签署文件的</w:t>
      </w:r>
    </w:p>
    <w:p w14:paraId="3346D91A">
      <w:pPr>
        <w:tabs>
          <w:tab w:val="left" w:pos="5760"/>
        </w:tabs>
        <w:autoSpaceDE w:val="0"/>
        <w:autoSpaceDN w:val="0"/>
        <w:adjustRightInd w:val="0"/>
        <w:spacing w:line="420" w:lineRule="exact"/>
        <w:ind w:firstLine="420" w:firstLineChars="200"/>
        <w:rPr>
          <w:rFonts w:hint="eastAsia" w:ascii="宋体" w:hAnsi="宋体" w:cs="宋体"/>
          <w:b/>
          <w:kern w:val="0"/>
          <w:szCs w:val="21"/>
        </w:rPr>
      </w:pPr>
      <w:r>
        <w:rPr>
          <w:rFonts w:hint="eastAsia" w:ascii="宋体" w:hAnsi="宋体" w:cs="宋体"/>
          <w:kern w:val="0"/>
          <w:szCs w:val="21"/>
        </w:rPr>
        <w:t>除提供法定代表人（或单位负责人）身份证明外还须提供授权委托书。</w:t>
      </w:r>
    </w:p>
    <w:p w14:paraId="400389CB">
      <w:pPr>
        <w:autoSpaceDE w:val="0"/>
        <w:autoSpaceDN w:val="0"/>
        <w:adjustRightInd w:val="0"/>
        <w:snapToGrid w:val="0"/>
        <w:spacing w:line="400" w:lineRule="exact"/>
        <w:ind w:left="357" w:leftChars="170"/>
        <w:jc w:val="left"/>
        <w:rPr>
          <w:szCs w:val="21"/>
        </w:rPr>
      </w:pPr>
    </w:p>
    <w:p w14:paraId="62CA184C">
      <w:pPr>
        <w:pStyle w:val="43"/>
      </w:pPr>
      <w:r>
        <w:br w:type="page"/>
      </w:r>
    </w:p>
    <w:p w14:paraId="7E12F67E">
      <w:pPr>
        <w:autoSpaceDE w:val="0"/>
        <w:autoSpaceDN w:val="0"/>
        <w:adjustRightInd w:val="0"/>
        <w:snapToGrid w:val="0"/>
        <w:spacing w:line="360" w:lineRule="auto"/>
        <w:outlineLvl w:val="1"/>
        <w:rPr>
          <w:rFonts w:hint="eastAsia" w:ascii="宋体" w:hAnsi="宋体" w:cs="MingLiU"/>
          <w:snapToGrid w:val="0"/>
          <w:kern w:val="0"/>
          <w:sz w:val="20"/>
          <w:szCs w:val="20"/>
        </w:rPr>
      </w:pPr>
      <w:bookmarkStart w:id="802" w:name="_Toc312326148"/>
      <w:bookmarkStart w:id="803" w:name="_Toc101780702"/>
      <w:bookmarkStart w:id="804" w:name="_Toc21612"/>
      <w:bookmarkStart w:id="805" w:name="_Toc310932786"/>
      <w:bookmarkStart w:id="806" w:name="_Toc21806"/>
      <w:bookmarkStart w:id="807" w:name="_Toc312326022"/>
      <w:bookmarkStart w:id="808" w:name="_Toc22459"/>
      <w:bookmarkStart w:id="809" w:name="_Toc478841591"/>
      <w:bookmarkStart w:id="810" w:name="_Toc3885"/>
      <w:bookmarkStart w:id="811" w:name="_Toc148053419"/>
      <w:bookmarkStart w:id="812" w:name="_Toc148053338"/>
      <w:bookmarkStart w:id="813" w:name="_Toc312325935"/>
      <w:bookmarkStart w:id="814" w:name="_Toc148061412"/>
      <w:r>
        <w:rPr>
          <w:rFonts w:hint="eastAsia" w:ascii="宋体" w:hAnsi="宋体"/>
          <w:b/>
          <w:bCs/>
          <w:spacing w:val="1"/>
          <w:w w:val="99"/>
          <w:kern w:val="0"/>
          <w:sz w:val="28"/>
          <w:szCs w:val="28"/>
        </w:rPr>
        <w:t>（3）比选保证金</w:t>
      </w:r>
      <w:bookmarkEnd w:id="802"/>
      <w:bookmarkEnd w:id="803"/>
      <w:bookmarkEnd w:id="804"/>
      <w:bookmarkEnd w:id="805"/>
      <w:bookmarkEnd w:id="806"/>
      <w:bookmarkEnd w:id="807"/>
      <w:bookmarkEnd w:id="808"/>
      <w:bookmarkEnd w:id="809"/>
      <w:bookmarkEnd w:id="810"/>
      <w:bookmarkEnd w:id="811"/>
      <w:bookmarkEnd w:id="812"/>
      <w:bookmarkEnd w:id="813"/>
    </w:p>
    <w:p w14:paraId="38874CA4">
      <w:pPr>
        <w:tabs>
          <w:tab w:val="left" w:pos="4840"/>
        </w:tabs>
        <w:autoSpaceDE w:val="0"/>
        <w:autoSpaceDN w:val="0"/>
        <w:adjustRightInd w:val="0"/>
        <w:snapToGrid w:val="0"/>
        <w:spacing w:line="420" w:lineRule="exact"/>
        <w:ind w:firstLine="525" w:firstLineChars="250"/>
        <w:jc w:val="left"/>
        <w:rPr>
          <w:rFonts w:hint="eastAsia" w:ascii="宋体" w:hAnsi="宋体" w:cs="MingLiU"/>
          <w:snapToGrid w:val="0"/>
          <w:kern w:val="0"/>
          <w:szCs w:val="21"/>
        </w:rPr>
      </w:pPr>
      <w:r>
        <w:rPr>
          <w:rFonts w:hint="eastAsia" w:ascii="宋体" w:hAnsi="宋体" w:cs="MingLiU"/>
          <w:snapToGrid w:val="0"/>
          <w:kern w:val="0"/>
          <w:szCs w:val="21"/>
        </w:rPr>
        <w:t>1.比选保证金缴纳凭证</w:t>
      </w:r>
    </w:p>
    <w:p w14:paraId="3993F5A3">
      <w:pPr>
        <w:tabs>
          <w:tab w:val="left" w:pos="4840"/>
        </w:tabs>
        <w:autoSpaceDE w:val="0"/>
        <w:autoSpaceDN w:val="0"/>
        <w:adjustRightInd w:val="0"/>
        <w:snapToGrid w:val="0"/>
        <w:spacing w:line="420" w:lineRule="exact"/>
        <w:ind w:firstLine="525" w:firstLineChars="250"/>
        <w:jc w:val="left"/>
        <w:rPr>
          <w:rFonts w:hint="eastAsia" w:ascii="宋体" w:hAnsi="宋体" w:cs="MingLiU"/>
          <w:snapToGrid w:val="0"/>
          <w:kern w:val="0"/>
          <w:szCs w:val="21"/>
        </w:rPr>
      </w:pPr>
      <w:r>
        <w:rPr>
          <w:rFonts w:hint="eastAsia" w:ascii="宋体" w:hAnsi="宋体" w:cs="MingLiU"/>
          <w:snapToGrid w:val="0"/>
          <w:kern w:val="0"/>
          <w:szCs w:val="21"/>
        </w:rPr>
        <w:t>提供比选保证金缴纳凭证复印件并加盖鲜公章。</w:t>
      </w:r>
    </w:p>
    <w:p w14:paraId="7C4341AE">
      <w:pPr>
        <w:wordWrap w:val="0"/>
        <w:snapToGrid w:val="0"/>
        <w:spacing w:line="500" w:lineRule="exact"/>
        <w:rPr>
          <w:rFonts w:hint="eastAsia" w:ascii="仿宋" w:hAnsi="仿宋" w:eastAsia="仿宋" w:cs="仿宋"/>
          <w:b/>
          <w:bCs/>
          <w:sz w:val="44"/>
        </w:rPr>
      </w:pPr>
    </w:p>
    <w:p w14:paraId="3B3BBDC0">
      <w:pPr>
        <w:wordWrap w:val="0"/>
        <w:snapToGrid w:val="0"/>
        <w:spacing w:line="500" w:lineRule="exact"/>
        <w:rPr>
          <w:rFonts w:hint="eastAsia" w:ascii="仿宋" w:hAnsi="仿宋" w:eastAsia="仿宋" w:cs="仿宋"/>
          <w:b/>
          <w:bCs/>
          <w:sz w:val="44"/>
        </w:rPr>
        <w:sectPr>
          <w:headerReference r:id="rId31" w:type="first"/>
          <w:footerReference r:id="rId33" w:type="first"/>
          <w:headerReference r:id="rId29" w:type="default"/>
          <w:footerReference r:id="rId32" w:type="default"/>
          <w:headerReference r:id="rId30" w:type="even"/>
          <w:pgSz w:w="11907" w:h="16840"/>
          <w:pgMar w:top="1134" w:right="1134" w:bottom="1134" w:left="1134" w:header="964" w:footer="992" w:gutter="0"/>
          <w:cols w:space="720" w:num="1"/>
          <w:titlePg/>
          <w:docGrid w:linePitch="312" w:charSpace="0"/>
        </w:sectPr>
      </w:pPr>
    </w:p>
    <w:p w14:paraId="7DEB4D3B">
      <w:pPr>
        <w:pStyle w:val="43"/>
        <w:rPr>
          <w:snapToGrid w:val="0"/>
        </w:rPr>
      </w:pPr>
    </w:p>
    <w:p w14:paraId="46FED282">
      <w:bookmarkStart w:id="815" w:name="_Toc19384"/>
      <w:bookmarkStart w:id="816" w:name="_Toc27794"/>
      <w:bookmarkStart w:id="817" w:name="_Toc25228"/>
    </w:p>
    <w:p w14:paraId="38DEABA8">
      <w:pPr>
        <w:autoSpaceDE w:val="0"/>
        <w:autoSpaceDN w:val="0"/>
        <w:adjustRightInd w:val="0"/>
        <w:snapToGrid w:val="0"/>
        <w:spacing w:line="360" w:lineRule="auto"/>
        <w:outlineLvl w:val="1"/>
        <w:rPr>
          <w:rFonts w:hint="eastAsia" w:ascii="宋体" w:hAnsi="宋体"/>
          <w:b/>
          <w:bCs/>
          <w:spacing w:val="1"/>
          <w:w w:val="99"/>
          <w:kern w:val="0"/>
          <w:sz w:val="28"/>
          <w:szCs w:val="28"/>
        </w:rPr>
      </w:pPr>
      <w:bookmarkStart w:id="818" w:name="_Toc23963"/>
      <w:r>
        <w:rPr>
          <w:rFonts w:hint="eastAsia" w:ascii="宋体" w:hAnsi="宋体"/>
          <w:b/>
          <w:bCs/>
          <w:spacing w:val="1"/>
          <w:w w:val="99"/>
          <w:kern w:val="0"/>
          <w:sz w:val="28"/>
          <w:szCs w:val="28"/>
        </w:rPr>
        <w:t>（4）报价明细表</w:t>
      </w:r>
      <w:bookmarkEnd w:id="814"/>
      <w:bookmarkEnd w:id="815"/>
      <w:bookmarkEnd w:id="816"/>
      <w:bookmarkEnd w:id="817"/>
      <w:bookmarkEnd w:id="818"/>
    </w:p>
    <w:tbl>
      <w:tblPr>
        <w:tblStyle w:val="75"/>
        <w:tblW w:w="14542" w:type="dxa"/>
        <w:jc w:val="center"/>
        <w:tblLayout w:type="fixed"/>
        <w:tblCellMar>
          <w:top w:w="0" w:type="dxa"/>
          <w:left w:w="108" w:type="dxa"/>
          <w:bottom w:w="0" w:type="dxa"/>
          <w:right w:w="108" w:type="dxa"/>
        </w:tblCellMar>
      </w:tblPr>
      <w:tblGrid>
        <w:gridCol w:w="647"/>
        <w:gridCol w:w="1549"/>
        <w:gridCol w:w="6480"/>
        <w:gridCol w:w="731"/>
        <w:gridCol w:w="774"/>
        <w:gridCol w:w="1357"/>
        <w:gridCol w:w="1241"/>
        <w:gridCol w:w="1763"/>
      </w:tblGrid>
      <w:tr w14:paraId="19A1F25C">
        <w:tblPrEx>
          <w:tblCellMar>
            <w:top w:w="0" w:type="dxa"/>
            <w:left w:w="108" w:type="dxa"/>
            <w:bottom w:w="0" w:type="dxa"/>
            <w:right w:w="108" w:type="dxa"/>
          </w:tblCellMar>
        </w:tblPrEx>
        <w:trPr>
          <w:trHeight w:val="696" w:hRule="atLeast"/>
          <w:jc w:val="center"/>
        </w:trPr>
        <w:tc>
          <w:tcPr>
            <w:tcW w:w="14542" w:type="dxa"/>
            <w:gridSpan w:val="8"/>
            <w:tcBorders>
              <w:top w:val="single" w:color="000000" w:sz="4" w:space="0"/>
              <w:left w:val="single" w:color="000000" w:sz="4" w:space="0"/>
              <w:bottom w:val="single" w:color="000000" w:sz="4" w:space="0"/>
              <w:right w:val="single" w:color="000000" w:sz="4" w:space="0"/>
            </w:tcBorders>
            <w:noWrap/>
            <w:vAlign w:val="center"/>
          </w:tcPr>
          <w:p w14:paraId="5D39189C">
            <w:pPr>
              <w:jc w:val="center"/>
              <w:textAlignment w:val="center"/>
              <w:rPr>
                <w:rFonts w:hint="eastAsia" w:ascii="宋体" w:hAnsi="宋体" w:eastAsia="宋体" w:cs="宋体"/>
                <w:b/>
                <w:bCs/>
                <w:color w:val="auto"/>
                <w:sz w:val="21"/>
                <w:szCs w:val="21"/>
                <w:highlight w:val="none"/>
                <w:lang w:val="en-US" w:eastAsia="zh-CN" w:bidi="ar"/>
              </w:rPr>
            </w:pPr>
            <w:r>
              <w:rPr>
                <w:rFonts w:hint="eastAsia" w:ascii="宋体" w:hAnsi="宋体" w:eastAsia="宋体" w:cs="宋体"/>
                <w:b/>
                <w:bCs/>
                <w:color w:val="auto"/>
                <w:sz w:val="21"/>
                <w:szCs w:val="21"/>
                <w:highlight w:val="none"/>
                <w:lang w:val="en-US" w:eastAsia="zh-CN" w:bidi="ar"/>
              </w:rPr>
              <w:t>一、大数据学院数字媒体技术专业2503实训室改建</w:t>
            </w:r>
          </w:p>
        </w:tc>
      </w:tr>
      <w:tr w14:paraId="500EC7D5">
        <w:tblPrEx>
          <w:tblCellMar>
            <w:top w:w="0" w:type="dxa"/>
            <w:left w:w="108" w:type="dxa"/>
            <w:bottom w:w="0" w:type="dxa"/>
            <w:right w:w="108" w:type="dxa"/>
          </w:tblCellMar>
        </w:tblPrEx>
        <w:trPr>
          <w:trHeight w:val="838" w:hRule="atLeast"/>
          <w:jc w:val="center"/>
        </w:trPr>
        <w:tc>
          <w:tcPr>
            <w:tcW w:w="647" w:type="dxa"/>
            <w:tcBorders>
              <w:top w:val="single" w:color="000000" w:sz="4" w:space="0"/>
              <w:left w:val="single" w:color="000000" w:sz="4" w:space="0"/>
              <w:bottom w:val="single" w:color="000000" w:sz="4" w:space="0"/>
              <w:right w:val="single" w:color="000000" w:sz="4" w:space="0"/>
            </w:tcBorders>
            <w:noWrap/>
            <w:vAlign w:val="center"/>
          </w:tcPr>
          <w:p w14:paraId="1C1D2795">
            <w:pPr>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bidi="ar"/>
              </w:rPr>
              <w:t>序号</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1B6F72E0">
            <w:pPr>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bidi="ar"/>
              </w:rPr>
              <w:t>产品名称</w:t>
            </w:r>
          </w:p>
        </w:tc>
        <w:tc>
          <w:tcPr>
            <w:tcW w:w="6480" w:type="dxa"/>
            <w:tcBorders>
              <w:top w:val="single" w:color="000000" w:sz="4" w:space="0"/>
              <w:left w:val="single" w:color="000000" w:sz="4" w:space="0"/>
              <w:bottom w:val="single" w:color="000000" w:sz="4" w:space="0"/>
              <w:right w:val="single" w:color="000000" w:sz="4" w:space="0"/>
            </w:tcBorders>
            <w:noWrap w:val="0"/>
            <w:vAlign w:val="center"/>
          </w:tcPr>
          <w:p w14:paraId="68CF19E7">
            <w:pPr>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bidi="ar"/>
              </w:rPr>
              <w:t>参数</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709C0C5A">
            <w:pPr>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bidi="ar"/>
              </w:rPr>
              <w:t>数量</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5D6CCB61">
            <w:pPr>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bidi="ar"/>
              </w:rPr>
              <w:t>单位</w:t>
            </w:r>
          </w:p>
        </w:tc>
        <w:tc>
          <w:tcPr>
            <w:tcW w:w="1357" w:type="dxa"/>
            <w:tcBorders>
              <w:top w:val="single" w:color="000000" w:sz="4" w:space="0"/>
              <w:left w:val="single" w:color="000000" w:sz="4" w:space="0"/>
              <w:bottom w:val="single" w:color="000000" w:sz="4" w:space="0"/>
              <w:right w:val="single" w:color="auto" w:sz="4" w:space="0"/>
            </w:tcBorders>
            <w:noWrap w:val="0"/>
            <w:vAlign w:val="center"/>
          </w:tcPr>
          <w:p w14:paraId="6D84C243">
            <w:pPr>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单价报价（元）</w:t>
            </w:r>
          </w:p>
        </w:tc>
        <w:tc>
          <w:tcPr>
            <w:tcW w:w="1241" w:type="dxa"/>
            <w:tcBorders>
              <w:top w:val="single" w:color="000000" w:sz="4" w:space="0"/>
              <w:left w:val="single" w:color="auto" w:sz="4" w:space="0"/>
              <w:bottom w:val="single" w:color="000000" w:sz="4" w:space="0"/>
              <w:right w:val="single" w:color="auto" w:sz="4" w:space="0"/>
            </w:tcBorders>
            <w:noWrap w:val="0"/>
            <w:vAlign w:val="center"/>
          </w:tcPr>
          <w:p w14:paraId="5F854E43">
            <w:pPr>
              <w:jc w:val="center"/>
              <w:textAlignment w:val="center"/>
              <w:rPr>
                <w:rFonts w:hint="eastAsia" w:ascii="宋体" w:hAnsi="宋体" w:eastAsia="宋体" w:cs="宋体"/>
                <w:b/>
                <w:bCs/>
                <w:color w:val="auto"/>
                <w:sz w:val="21"/>
                <w:szCs w:val="21"/>
                <w:highlight w:val="none"/>
                <w:lang w:val="en-US" w:eastAsia="zh-CN" w:bidi="ar"/>
              </w:rPr>
            </w:pPr>
            <w:r>
              <w:rPr>
                <w:rFonts w:hint="eastAsia" w:ascii="宋体" w:hAnsi="宋体" w:eastAsia="宋体" w:cs="宋体"/>
                <w:b/>
                <w:bCs/>
                <w:color w:val="auto"/>
                <w:sz w:val="21"/>
                <w:szCs w:val="21"/>
                <w:highlight w:val="none"/>
                <w:lang w:val="en-US" w:eastAsia="zh-CN" w:bidi="ar"/>
              </w:rPr>
              <w:t>合计（元）</w:t>
            </w:r>
          </w:p>
        </w:tc>
        <w:tc>
          <w:tcPr>
            <w:tcW w:w="1763" w:type="dxa"/>
            <w:tcBorders>
              <w:top w:val="single" w:color="000000" w:sz="4" w:space="0"/>
              <w:left w:val="single" w:color="auto" w:sz="4" w:space="0"/>
              <w:bottom w:val="single" w:color="000000" w:sz="4" w:space="0"/>
              <w:right w:val="single" w:color="000000" w:sz="4" w:space="0"/>
            </w:tcBorders>
            <w:noWrap w:val="0"/>
            <w:vAlign w:val="center"/>
          </w:tcPr>
          <w:p w14:paraId="39821F33">
            <w:pPr>
              <w:jc w:val="center"/>
              <w:textAlignment w:val="center"/>
              <w:rPr>
                <w:rFonts w:hint="eastAsia" w:ascii="宋体" w:hAnsi="宋体" w:eastAsia="宋体" w:cs="宋体"/>
                <w:b/>
                <w:bCs/>
                <w:color w:val="auto"/>
                <w:sz w:val="21"/>
                <w:szCs w:val="21"/>
                <w:highlight w:val="none"/>
                <w:lang w:eastAsia="zh-CN" w:bidi="ar"/>
              </w:rPr>
            </w:pPr>
            <w:r>
              <w:rPr>
                <w:rFonts w:hint="eastAsia" w:ascii="宋体" w:hAnsi="宋体" w:eastAsia="宋体" w:cs="宋体"/>
                <w:b/>
                <w:bCs/>
                <w:color w:val="auto"/>
                <w:sz w:val="21"/>
                <w:szCs w:val="21"/>
                <w:highlight w:val="none"/>
                <w:lang w:val="en-US" w:eastAsia="zh-CN" w:bidi="ar"/>
              </w:rPr>
              <w:t>品牌</w:t>
            </w:r>
          </w:p>
        </w:tc>
      </w:tr>
      <w:tr w14:paraId="774C9D3B">
        <w:tblPrEx>
          <w:tblCellMar>
            <w:top w:w="0" w:type="dxa"/>
            <w:left w:w="108" w:type="dxa"/>
            <w:bottom w:w="0" w:type="dxa"/>
            <w:right w:w="108" w:type="dxa"/>
          </w:tblCellMar>
        </w:tblPrEx>
        <w:trPr>
          <w:trHeight w:val="522" w:hRule="atLeast"/>
          <w:jc w:val="center"/>
        </w:trPr>
        <w:tc>
          <w:tcPr>
            <w:tcW w:w="14542" w:type="dxa"/>
            <w:gridSpan w:val="8"/>
            <w:tcBorders>
              <w:top w:val="single" w:color="000000" w:sz="4" w:space="0"/>
              <w:left w:val="single" w:color="000000" w:sz="4" w:space="0"/>
              <w:bottom w:val="single" w:color="000000" w:sz="4" w:space="0"/>
              <w:right w:val="single" w:color="000000" w:sz="4" w:space="0"/>
            </w:tcBorders>
            <w:noWrap/>
            <w:vAlign w:val="center"/>
          </w:tcPr>
          <w:p w14:paraId="70644918">
            <w:pPr>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bidi="ar"/>
              </w:rPr>
              <w:t>（</w:t>
            </w:r>
            <w:r>
              <w:rPr>
                <w:rFonts w:hint="eastAsia" w:ascii="宋体" w:hAnsi="宋体" w:eastAsia="宋体" w:cs="宋体"/>
                <w:b/>
                <w:bCs/>
                <w:color w:val="auto"/>
                <w:sz w:val="21"/>
                <w:szCs w:val="21"/>
                <w:highlight w:val="none"/>
                <w:lang w:val="en-US" w:eastAsia="zh-CN" w:bidi="ar"/>
              </w:rPr>
              <w:t>一</w:t>
            </w:r>
            <w:r>
              <w:rPr>
                <w:rFonts w:hint="eastAsia" w:ascii="宋体" w:hAnsi="宋体" w:eastAsia="宋体" w:cs="宋体"/>
                <w:b/>
                <w:bCs/>
                <w:color w:val="auto"/>
                <w:sz w:val="21"/>
                <w:szCs w:val="21"/>
                <w:highlight w:val="none"/>
                <w:lang w:eastAsia="zh-CN" w:bidi="ar"/>
              </w:rPr>
              <w:t>）</w:t>
            </w:r>
            <w:r>
              <w:rPr>
                <w:rFonts w:hint="eastAsia" w:ascii="宋体" w:hAnsi="宋体" w:eastAsia="宋体" w:cs="宋体"/>
                <w:b/>
                <w:bCs/>
                <w:color w:val="auto"/>
                <w:sz w:val="21"/>
                <w:szCs w:val="21"/>
                <w:highlight w:val="none"/>
                <w:lang w:bidi="ar"/>
              </w:rPr>
              <w:t>专业资源制作实训室设备清单</w:t>
            </w:r>
          </w:p>
        </w:tc>
      </w:tr>
      <w:tr w14:paraId="083260F3">
        <w:tblPrEx>
          <w:tblCellMar>
            <w:top w:w="0" w:type="dxa"/>
            <w:left w:w="108" w:type="dxa"/>
            <w:bottom w:w="0" w:type="dxa"/>
            <w:right w:w="108" w:type="dxa"/>
          </w:tblCellMar>
        </w:tblPrEx>
        <w:trPr>
          <w:trHeight w:val="598" w:hRule="atLeast"/>
          <w:jc w:val="center"/>
        </w:trPr>
        <w:tc>
          <w:tcPr>
            <w:tcW w:w="647" w:type="dxa"/>
            <w:vMerge w:val="restart"/>
            <w:tcBorders>
              <w:top w:val="single" w:color="000000" w:sz="4" w:space="0"/>
              <w:left w:val="single" w:color="000000" w:sz="4" w:space="0"/>
              <w:right w:val="single" w:color="000000" w:sz="4" w:space="0"/>
            </w:tcBorders>
            <w:noWrap/>
            <w:vAlign w:val="center"/>
          </w:tcPr>
          <w:p w14:paraId="1F230CB6">
            <w:pP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18"/>
                <w:szCs w:val="18"/>
                <w:highlight w:val="none"/>
                <w:lang w:bidi="ar"/>
              </w:rPr>
              <w:t>1</w:t>
            </w:r>
          </w:p>
        </w:tc>
        <w:tc>
          <w:tcPr>
            <w:tcW w:w="1549" w:type="dxa"/>
            <w:vMerge w:val="restart"/>
            <w:tcBorders>
              <w:top w:val="single" w:color="000000" w:sz="4" w:space="0"/>
              <w:left w:val="single" w:color="000000" w:sz="4" w:space="0"/>
              <w:right w:val="single" w:color="000000" w:sz="4" w:space="0"/>
            </w:tcBorders>
            <w:noWrap/>
            <w:vAlign w:val="center"/>
          </w:tcPr>
          <w:p w14:paraId="49A5DEC6">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台式电脑</w:t>
            </w:r>
          </w:p>
        </w:tc>
        <w:tc>
          <w:tcPr>
            <w:tcW w:w="6480" w:type="dxa"/>
            <w:tcBorders>
              <w:top w:val="single" w:color="000000" w:sz="4" w:space="0"/>
              <w:left w:val="single" w:color="000000" w:sz="4" w:space="0"/>
              <w:right w:val="single" w:color="000000" w:sz="4" w:space="0"/>
            </w:tcBorders>
            <w:noWrap w:val="0"/>
            <w:vAlign w:val="center"/>
          </w:tcPr>
          <w:p w14:paraId="776B41FC">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1、</w:t>
            </w:r>
            <w:r>
              <w:rPr>
                <w:rFonts w:hint="eastAsia" w:ascii="宋体" w:hAnsi="宋体" w:eastAsia="宋体" w:cs="宋体"/>
                <w:color w:val="auto"/>
                <w:sz w:val="18"/>
                <w:szCs w:val="18"/>
                <w:highlight w:val="none"/>
                <w:lang w:val="en-US" w:eastAsia="zh-CN"/>
              </w:rPr>
              <w:t>CPU Intel 酷睿i5十二代或以上，主频≥2.5GHz或以上，六核十二线程，三级缓存≥18MB；</w:t>
            </w:r>
          </w:p>
        </w:tc>
        <w:tc>
          <w:tcPr>
            <w:tcW w:w="731" w:type="dxa"/>
            <w:vMerge w:val="restart"/>
            <w:tcBorders>
              <w:top w:val="single" w:color="000000" w:sz="4" w:space="0"/>
              <w:left w:val="single" w:color="000000" w:sz="4" w:space="0"/>
              <w:right w:val="single" w:color="000000" w:sz="4" w:space="0"/>
            </w:tcBorders>
            <w:noWrap/>
            <w:vAlign w:val="center"/>
          </w:tcPr>
          <w:p w14:paraId="7E798DD8">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39</w:t>
            </w:r>
          </w:p>
        </w:tc>
        <w:tc>
          <w:tcPr>
            <w:tcW w:w="774" w:type="dxa"/>
            <w:vMerge w:val="restart"/>
            <w:tcBorders>
              <w:top w:val="single" w:color="000000" w:sz="4" w:space="0"/>
              <w:left w:val="single" w:color="000000" w:sz="4" w:space="0"/>
              <w:right w:val="single" w:color="000000" w:sz="4" w:space="0"/>
            </w:tcBorders>
            <w:noWrap/>
            <w:vAlign w:val="center"/>
          </w:tcPr>
          <w:p w14:paraId="27CF5179">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台</w:t>
            </w:r>
          </w:p>
        </w:tc>
        <w:tc>
          <w:tcPr>
            <w:tcW w:w="1357" w:type="dxa"/>
            <w:tcBorders>
              <w:top w:val="single" w:color="000000" w:sz="4" w:space="0"/>
              <w:left w:val="single" w:color="000000" w:sz="4" w:space="0"/>
              <w:bottom w:val="single" w:color="auto" w:sz="4" w:space="0"/>
              <w:right w:val="single" w:color="auto" w:sz="4" w:space="0"/>
            </w:tcBorders>
            <w:noWrap w:val="0"/>
            <w:vAlign w:val="center"/>
          </w:tcPr>
          <w:p w14:paraId="4B072AAB">
            <w:pPr>
              <w:rPr>
                <w:rFonts w:hint="eastAsia" w:ascii="宋体" w:hAnsi="宋体" w:eastAsia="宋体" w:cs="宋体"/>
                <w:color w:val="auto"/>
                <w:sz w:val="22"/>
                <w:szCs w:val="22"/>
                <w:highlight w:val="none"/>
              </w:rPr>
            </w:pPr>
          </w:p>
        </w:tc>
        <w:tc>
          <w:tcPr>
            <w:tcW w:w="1241" w:type="dxa"/>
            <w:vMerge w:val="restart"/>
            <w:tcBorders>
              <w:top w:val="single" w:color="000000" w:sz="4" w:space="0"/>
              <w:left w:val="single" w:color="auto" w:sz="4" w:space="0"/>
              <w:right w:val="single" w:color="auto" w:sz="4" w:space="0"/>
            </w:tcBorders>
            <w:noWrap w:val="0"/>
            <w:vAlign w:val="center"/>
          </w:tcPr>
          <w:p w14:paraId="31B88641">
            <w:pPr>
              <w:rPr>
                <w:rFonts w:hint="eastAsia" w:ascii="宋体" w:hAnsi="宋体" w:eastAsia="宋体" w:cs="宋体"/>
                <w:color w:val="auto"/>
                <w:sz w:val="22"/>
                <w:szCs w:val="22"/>
                <w:highlight w:val="none"/>
              </w:rPr>
            </w:pPr>
          </w:p>
        </w:tc>
        <w:tc>
          <w:tcPr>
            <w:tcW w:w="1763" w:type="dxa"/>
            <w:tcBorders>
              <w:top w:val="single" w:color="auto" w:sz="4" w:space="0"/>
              <w:left w:val="single" w:color="auto" w:sz="4" w:space="0"/>
              <w:bottom w:val="single" w:color="auto" w:sz="4" w:space="0"/>
              <w:right w:val="single" w:color="auto" w:sz="4" w:space="0"/>
            </w:tcBorders>
            <w:noWrap w:val="0"/>
            <w:vAlign w:val="center"/>
          </w:tcPr>
          <w:p w14:paraId="58250815">
            <w:pPr>
              <w:rPr>
                <w:rFonts w:hint="eastAsia" w:ascii="宋体" w:hAnsi="宋体" w:eastAsia="宋体" w:cs="宋体"/>
                <w:color w:val="auto"/>
                <w:sz w:val="22"/>
                <w:szCs w:val="22"/>
                <w:highlight w:val="none"/>
              </w:rPr>
            </w:pPr>
          </w:p>
        </w:tc>
      </w:tr>
      <w:tr w14:paraId="4889D8C7">
        <w:tblPrEx>
          <w:tblCellMar>
            <w:top w:w="0" w:type="dxa"/>
            <w:left w:w="108" w:type="dxa"/>
            <w:bottom w:w="0" w:type="dxa"/>
            <w:right w:w="108" w:type="dxa"/>
          </w:tblCellMar>
        </w:tblPrEx>
        <w:trPr>
          <w:trHeight w:val="659" w:hRule="atLeast"/>
          <w:jc w:val="center"/>
        </w:trPr>
        <w:tc>
          <w:tcPr>
            <w:tcW w:w="647" w:type="dxa"/>
            <w:vMerge w:val="continue"/>
            <w:tcBorders>
              <w:left w:val="single" w:color="000000" w:sz="4" w:space="0"/>
              <w:right w:val="single" w:color="000000" w:sz="4" w:space="0"/>
            </w:tcBorders>
            <w:noWrap/>
            <w:vAlign w:val="center"/>
          </w:tcPr>
          <w:p w14:paraId="1F7BC040">
            <w:pPr>
              <w:jc w:val="center"/>
              <w:textAlignment w:val="center"/>
              <w:rPr>
                <w:rFonts w:hint="eastAsia" w:ascii="宋体" w:hAnsi="宋体" w:eastAsia="宋体" w:cs="宋体"/>
                <w:color w:val="auto"/>
                <w:sz w:val="18"/>
                <w:szCs w:val="18"/>
                <w:highlight w:val="none"/>
                <w:lang w:bidi="ar"/>
              </w:rPr>
            </w:pPr>
          </w:p>
        </w:tc>
        <w:tc>
          <w:tcPr>
            <w:tcW w:w="1549" w:type="dxa"/>
            <w:vMerge w:val="continue"/>
            <w:tcBorders>
              <w:left w:val="single" w:color="000000" w:sz="4" w:space="0"/>
              <w:right w:val="single" w:color="000000" w:sz="4" w:space="0"/>
            </w:tcBorders>
            <w:noWrap/>
            <w:vAlign w:val="center"/>
          </w:tcPr>
          <w:p w14:paraId="5EFBFBB4">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6480" w:type="dxa"/>
            <w:tcBorders>
              <w:top w:val="single" w:color="auto" w:sz="4" w:space="0"/>
              <w:left w:val="single" w:color="000000" w:sz="4" w:space="0"/>
              <w:right w:val="single" w:color="000000" w:sz="4" w:space="0"/>
            </w:tcBorders>
            <w:noWrap w:val="0"/>
            <w:vAlign w:val="center"/>
          </w:tcPr>
          <w:p w14:paraId="7918338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2、主板 ≥Intel B660M芯片组， MATX 主板，插槽2*PCI-E 1X，1*PCI-E 16X ，2*M.2， 1*COM插针；</w:t>
            </w:r>
          </w:p>
        </w:tc>
        <w:tc>
          <w:tcPr>
            <w:tcW w:w="731" w:type="dxa"/>
            <w:vMerge w:val="continue"/>
            <w:tcBorders>
              <w:left w:val="single" w:color="000000" w:sz="4" w:space="0"/>
              <w:right w:val="single" w:color="000000" w:sz="4" w:space="0"/>
            </w:tcBorders>
            <w:noWrap/>
            <w:vAlign w:val="center"/>
          </w:tcPr>
          <w:p w14:paraId="0088D8D7">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774" w:type="dxa"/>
            <w:vMerge w:val="continue"/>
            <w:tcBorders>
              <w:left w:val="single" w:color="000000" w:sz="4" w:space="0"/>
              <w:right w:val="single" w:color="000000" w:sz="4" w:space="0"/>
            </w:tcBorders>
            <w:noWrap/>
            <w:vAlign w:val="center"/>
          </w:tcPr>
          <w:p w14:paraId="329DC6D7">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1357" w:type="dxa"/>
            <w:tcBorders>
              <w:top w:val="single" w:color="auto" w:sz="4" w:space="0"/>
              <w:left w:val="single" w:color="000000" w:sz="4" w:space="0"/>
              <w:bottom w:val="single" w:color="auto" w:sz="4" w:space="0"/>
              <w:right w:val="single" w:color="auto" w:sz="4" w:space="0"/>
            </w:tcBorders>
            <w:noWrap w:val="0"/>
            <w:vAlign w:val="center"/>
          </w:tcPr>
          <w:p w14:paraId="52DE0E2D">
            <w:pPr>
              <w:rPr>
                <w:rFonts w:hint="eastAsia" w:ascii="宋体" w:hAnsi="宋体" w:eastAsia="宋体" w:cs="宋体"/>
                <w:color w:val="auto"/>
                <w:sz w:val="22"/>
                <w:szCs w:val="22"/>
                <w:highlight w:val="none"/>
              </w:rPr>
            </w:pPr>
          </w:p>
        </w:tc>
        <w:tc>
          <w:tcPr>
            <w:tcW w:w="1241" w:type="dxa"/>
            <w:vMerge w:val="continue"/>
            <w:tcBorders>
              <w:left w:val="single" w:color="auto" w:sz="4" w:space="0"/>
              <w:right w:val="single" w:color="auto" w:sz="4" w:space="0"/>
            </w:tcBorders>
            <w:noWrap w:val="0"/>
            <w:vAlign w:val="center"/>
          </w:tcPr>
          <w:p w14:paraId="3A688AD9">
            <w:pPr>
              <w:rPr>
                <w:rFonts w:hint="eastAsia" w:ascii="宋体" w:hAnsi="宋体" w:eastAsia="宋体" w:cs="宋体"/>
                <w:color w:val="auto"/>
                <w:sz w:val="22"/>
                <w:szCs w:val="22"/>
                <w:highlight w:val="none"/>
              </w:rPr>
            </w:pPr>
          </w:p>
        </w:tc>
        <w:tc>
          <w:tcPr>
            <w:tcW w:w="1763" w:type="dxa"/>
            <w:tcBorders>
              <w:top w:val="single" w:color="auto" w:sz="4" w:space="0"/>
              <w:left w:val="single" w:color="auto" w:sz="4" w:space="0"/>
              <w:bottom w:val="single" w:color="auto" w:sz="4" w:space="0"/>
              <w:right w:val="single" w:color="auto" w:sz="4" w:space="0"/>
            </w:tcBorders>
            <w:noWrap w:val="0"/>
            <w:vAlign w:val="center"/>
          </w:tcPr>
          <w:p w14:paraId="7AD8EB09">
            <w:pPr>
              <w:rPr>
                <w:rFonts w:hint="eastAsia" w:ascii="宋体" w:hAnsi="宋体" w:eastAsia="宋体" w:cs="宋体"/>
                <w:color w:val="auto"/>
                <w:sz w:val="22"/>
                <w:szCs w:val="22"/>
                <w:highlight w:val="none"/>
              </w:rPr>
            </w:pPr>
          </w:p>
        </w:tc>
      </w:tr>
      <w:tr w14:paraId="111E21A4">
        <w:tblPrEx>
          <w:tblCellMar>
            <w:top w:w="0" w:type="dxa"/>
            <w:left w:w="108" w:type="dxa"/>
            <w:bottom w:w="0" w:type="dxa"/>
            <w:right w:w="108" w:type="dxa"/>
          </w:tblCellMar>
        </w:tblPrEx>
        <w:trPr>
          <w:trHeight w:val="312" w:hRule="atLeast"/>
          <w:jc w:val="center"/>
        </w:trPr>
        <w:tc>
          <w:tcPr>
            <w:tcW w:w="647" w:type="dxa"/>
            <w:vMerge w:val="continue"/>
            <w:tcBorders>
              <w:left w:val="single" w:color="000000" w:sz="4" w:space="0"/>
              <w:right w:val="single" w:color="000000" w:sz="4" w:space="0"/>
            </w:tcBorders>
            <w:noWrap/>
            <w:vAlign w:val="center"/>
          </w:tcPr>
          <w:p w14:paraId="630CA8DF">
            <w:pPr>
              <w:jc w:val="center"/>
              <w:textAlignment w:val="center"/>
              <w:rPr>
                <w:rFonts w:hint="eastAsia" w:ascii="宋体" w:hAnsi="宋体" w:eastAsia="宋体" w:cs="宋体"/>
                <w:color w:val="auto"/>
                <w:sz w:val="18"/>
                <w:szCs w:val="18"/>
                <w:highlight w:val="none"/>
                <w:lang w:bidi="ar"/>
              </w:rPr>
            </w:pPr>
          </w:p>
        </w:tc>
        <w:tc>
          <w:tcPr>
            <w:tcW w:w="1549" w:type="dxa"/>
            <w:vMerge w:val="continue"/>
            <w:tcBorders>
              <w:left w:val="single" w:color="000000" w:sz="4" w:space="0"/>
              <w:right w:val="single" w:color="000000" w:sz="4" w:space="0"/>
            </w:tcBorders>
            <w:noWrap/>
            <w:vAlign w:val="center"/>
          </w:tcPr>
          <w:p w14:paraId="58EB2507">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6480" w:type="dxa"/>
            <w:tcBorders>
              <w:top w:val="single" w:color="auto" w:sz="4" w:space="0"/>
              <w:left w:val="single" w:color="000000" w:sz="4" w:space="0"/>
              <w:right w:val="single" w:color="000000" w:sz="4" w:space="0"/>
            </w:tcBorders>
            <w:noWrap w:val="0"/>
            <w:vAlign w:val="center"/>
          </w:tcPr>
          <w:p w14:paraId="259E2DD9">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3、内存 ≥32GB DDR4 3200，内存插槽数≥2，最大支持64GB；</w:t>
            </w:r>
          </w:p>
        </w:tc>
        <w:tc>
          <w:tcPr>
            <w:tcW w:w="731" w:type="dxa"/>
            <w:vMerge w:val="continue"/>
            <w:tcBorders>
              <w:left w:val="single" w:color="000000" w:sz="4" w:space="0"/>
              <w:right w:val="single" w:color="000000" w:sz="4" w:space="0"/>
            </w:tcBorders>
            <w:noWrap/>
            <w:vAlign w:val="center"/>
          </w:tcPr>
          <w:p w14:paraId="272AC08D">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774" w:type="dxa"/>
            <w:vMerge w:val="continue"/>
            <w:tcBorders>
              <w:left w:val="single" w:color="000000" w:sz="4" w:space="0"/>
              <w:right w:val="single" w:color="000000" w:sz="4" w:space="0"/>
            </w:tcBorders>
            <w:noWrap/>
            <w:vAlign w:val="center"/>
          </w:tcPr>
          <w:p w14:paraId="7C8B9931">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1357" w:type="dxa"/>
            <w:tcBorders>
              <w:top w:val="single" w:color="auto" w:sz="4" w:space="0"/>
              <w:left w:val="single" w:color="000000" w:sz="4" w:space="0"/>
              <w:bottom w:val="single" w:color="auto" w:sz="4" w:space="0"/>
              <w:right w:val="single" w:color="auto" w:sz="4" w:space="0"/>
            </w:tcBorders>
            <w:noWrap w:val="0"/>
            <w:vAlign w:val="center"/>
          </w:tcPr>
          <w:p w14:paraId="25A70037">
            <w:pPr>
              <w:rPr>
                <w:rFonts w:hint="eastAsia" w:ascii="宋体" w:hAnsi="宋体" w:eastAsia="宋体" w:cs="宋体"/>
                <w:color w:val="auto"/>
                <w:sz w:val="22"/>
                <w:szCs w:val="22"/>
                <w:highlight w:val="none"/>
              </w:rPr>
            </w:pPr>
          </w:p>
        </w:tc>
        <w:tc>
          <w:tcPr>
            <w:tcW w:w="1241" w:type="dxa"/>
            <w:vMerge w:val="continue"/>
            <w:tcBorders>
              <w:left w:val="single" w:color="auto" w:sz="4" w:space="0"/>
              <w:right w:val="single" w:color="auto" w:sz="4" w:space="0"/>
            </w:tcBorders>
            <w:noWrap w:val="0"/>
            <w:vAlign w:val="center"/>
          </w:tcPr>
          <w:p w14:paraId="7ABE274C">
            <w:pPr>
              <w:rPr>
                <w:rFonts w:hint="eastAsia" w:ascii="宋体" w:hAnsi="宋体" w:eastAsia="宋体" w:cs="宋体"/>
                <w:color w:val="auto"/>
                <w:sz w:val="22"/>
                <w:szCs w:val="22"/>
                <w:highlight w:val="none"/>
              </w:rPr>
            </w:pPr>
          </w:p>
        </w:tc>
        <w:tc>
          <w:tcPr>
            <w:tcW w:w="1763" w:type="dxa"/>
            <w:tcBorders>
              <w:top w:val="single" w:color="auto" w:sz="4" w:space="0"/>
              <w:left w:val="single" w:color="auto" w:sz="4" w:space="0"/>
              <w:bottom w:val="single" w:color="auto" w:sz="4" w:space="0"/>
              <w:right w:val="single" w:color="auto" w:sz="4" w:space="0"/>
            </w:tcBorders>
            <w:noWrap w:val="0"/>
            <w:vAlign w:val="center"/>
          </w:tcPr>
          <w:p w14:paraId="5EE03919">
            <w:pPr>
              <w:rPr>
                <w:rFonts w:hint="eastAsia" w:ascii="宋体" w:hAnsi="宋体" w:eastAsia="宋体" w:cs="宋体"/>
                <w:color w:val="auto"/>
                <w:sz w:val="22"/>
                <w:szCs w:val="22"/>
                <w:highlight w:val="none"/>
              </w:rPr>
            </w:pPr>
          </w:p>
        </w:tc>
      </w:tr>
      <w:tr w14:paraId="1994428E">
        <w:tblPrEx>
          <w:tblCellMar>
            <w:top w:w="0" w:type="dxa"/>
            <w:left w:w="108" w:type="dxa"/>
            <w:bottom w:w="0" w:type="dxa"/>
            <w:right w:w="108" w:type="dxa"/>
          </w:tblCellMar>
        </w:tblPrEx>
        <w:trPr>
          <w:trHeight w:val="312" w:hRule="atLeast"/>
          <w:jc w:val="center"/>
        </w:trPr>
        <w:tc>
          <w:tcPr>
            <w:tcW w:w="647" w:type="dxa"/>
            <w:vMerge w:val="continue"/>
            <w:tcBorders>
              <w:left w:val="single" w:color="000000" w:sz="4" w:space="0"/>
              <w:right w:val="single" w:color="000000" w:sz="4" w:space="0"/>
            </w:tcBorders>
            <w:noWrap/>
            <w:vAlign w:val="center"/>
          </w:tcPr>
          <w:p w14:paraId="7A45A1AE">
            <w:pPr>
              <w:jc w:val="center"/>
              <w:textAlignment w:val="center"/>
              <w:rPr>
                <w:rFonts w:hint="eastAsia" w:ascii="宋体" w:hAnsi="宋体" w:eastAsia="宋体" w:cs="宋体"/>
                <w:color w:val="auto"/>
                <w:sz w:val="18"/>
                <w:szCs w:val="18"/>
                <w:highlight w:val="none"/>
                <w:lang w:bidi="ar"/>
              </w:rPr>
            </w:pPr>
          </w:p>
        </w:tc>
        <w:tc>
          <w:tcPr>
            <w:tcW w:w="1549" w:type="dxa"/>
            <w:vMerge w:val="continue"/>
            <w:tcBorders>
              <w:left w:val="single" w:color="000000" w:sz="4" w:space="0"/>
              <w:right w:val="single" w:color="000000" w:sz="4" w:space="0"/>
            </w:tcBorders>
            <w:noWrap/>
            <w:vAlign w:val="center"/>
          </w:tcPr>
          <w:p w14:paraId="1C8ECC47">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6480" w:type="dxa"/>
            <w:tcBorders>
              <w:top w:val="single" w:color="auto" w:sz="4" w:space="0"/>
              <w:left w:val="single" w:color="000000" w:sz="4" w:space="0"/>
              <w:right w:val="single" w:color="000000" w:sz="4" w:space="0"/>
            </w:tcBorders>
            <w:noWrap w:val="0"/>
            <w:vAlign w:val="center"/>
          </w:tcPr>
          <w:p w14:paraId="2A69FE1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4、硬盘 ≥512G SSD NVME；</w:t>
            </w:r>
          </w:p>
        </w:tc>
        <w:tc>
          <w:tcPr>
            <w:tcW w:w="731" w:type="dxa"/>
            <w:vMerge w:val="continue"/>
            <w:tcBorders>
              <w:left w:val="single" w:color="000000" w:sz="4" w:space="0"/>
              <w:right w:val="single" w:color="000000" w:sz="4" w:space="0"/>
            </w:tcBorders>
            <w:noWrap/>
            <w:vAlign w:val="center"/>
          </w:tcPr>
          <w:p w14:paraId="752BB444">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774" w:type="dxa"/>
            <w:vMerge w:val="continue"/>
            <w:tcBorders>
              <w:left w:val="single" w:color="000000" w:sz="4" w:space="0"/>
              <w:right w:val="single" w:color="000000" w:sz="4" w:space="0"/>
            </w:tcBorders>
            <w:noWrap/>
            <w:vAlign w:val="center"/>
          </w:tcPr>
          <w:p w14:paraId="088B286E">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1357" w:type="dxa"/>
            <w:tcBorders>
              <w:top w:val="single" w:color="auto" w:sz="4" w:space="0"/>
              <w:left w:val="single" w:color="000000" w:sz="4" w:space="0"/>
              <w:bottom w:val="single" w:color="auto" w:sz="4" w:space="0"/>
              <w:right w:val="single" w:color="auto" w:sz="4" w:space="0"/>
            </w:tcBorders>
            <w:noWrap w:val="0"/>
            <w:vAlign w:val="center"/>
          </w:tcPr>
          <w:p w14:paraId="06368039">
            <w:pPr>
              <w:rPr>
                <w:rFonts w:hint="eastAsia" w:ascii="宋体" w:hAnsi="宋体" w:eastAsia="宋体" w:cs="宋体"/>
                <w:color w:val="auto"/>
                <w:sz w:val="22"/>
                <w:szCs w:val="22"/>
                <w:highlight w:val="none"/>
              </w:rPr>
            </w:pPr>
          </w:p>
        </w:tc>
        <w:tc>
          <w:tcPr>
            <w:tcW w:w="1241" w:type="dxa"/>
            <w:vMerge w:val="continue"/>
            <w:tcBorders>
              <w:left w:val="single" w:color="auto" w:sz="4" w:space="0"/>
              <w:right w:val="single" w:color="auto" w:sz="4" w:space="0"/>
            </w:tcBorders>
            <w:noWrap w:val="0"/>
            <w:vAlign w:val="center"/>
          </w:tcPr>
          <w:p w14:paraId="243E7AB5">
            <w:pPr>
              <w:rPr>
                <w:rFonts w:hint="eastAsia" w:ascii="宋体" w:hAnsi="宋体" w:eastAsia="宋体" w:cs="宋体"/>
                <w:color w:val="auto"/>
                <w:sz w:val="22"/>
                <w:szCs w:val="22"/>
                <w:highlight w:val="none"/>
              </w:rPr>
            </w:pPr>
          </w:p>
        </w:tc>
        <w:tc>
          <w:tcPr>
            <w:tcW w:w="1763" w:type="dxa"/>
            <w:tcBorders>
              <w:top w:val="single" w:color="auto" w:sz="4" w:space="0"/>
              <w:left w:val="single" w:color="auto" w:sz="4" w:space="0"/>
              <w:bottom w:val="single" w:color="auto" w:sz="4" w:space="0"/>
              <w:right w:val="single" w:color="auto" w:sz="4" w:space="0"/>
            </w:tcBorders>
            <w:noWrap w:val="0"/>
            <w:vAlign w:val="center"/>
          </w:tcPr>
          <w:p w14:paraId="0845FB5D">
            <w:pPr>
              <w:rPr>
                <w:rFonts w:hint="eastAsia" w:ascii="宋体" w:hAnsi="宋体" w:eastAsia="宋体" w:cs="宋体"/>
                <w:color w:val="auto"/>
                <w:sz w:val="22"/>
                <w:szCs w:val="22"/>
                <w:highlight w:val="none"/>
              </w:rPr>
            </w:pPr>
          </w:p>
        </w:tc>
      </w:tr>
      <w:tr w14:paraId="220372FB">
        <w:tblPrEx>
          <w:tblCellMar>
            <w:top w:w="0" w:type="dxa"/>
            <w:left w:w="108" w:type="dxa"/>
            <w:bottom w:w="0" w:type="dxa"/>
            <w:right w:w="108" w:type="dxa"/>
          </w:tblCellMar>
        </w:tblPrEx>
        <w:trPr>
          <w:trHeight w:val="339" w:hRule="atLeast"/>
          <w:jc w:val="center"/>
        </w:trPr>
        <w:tc>
          <w:tcPr>
            <w:tcW w:w="647" w:type="dxa"/>
            <w:vMerge w:val="continue"/>
            <w:tcBorders>
              <w:left w:val="single" w:color="000000" w:sz="4" w:space="0"/>
              <w:right w:val="single" w:color="000000" w:sz="4" w:space="0"/>
            </w:tcBorders>
            <w:noWrap/>
            <w:vAlign w:val="center"/>
          </w:tcPr>
          <w:p w14:paraId="18E19C79">
            <w:pPr>
              <w:jc w:val="center"/>
              <w:textAlignment w:val="center"/>
              <w:rPr>
                <w:rFonts w:hint="eastAsia" w:ascii="宋体" w:hAnsi="宋体" w:eastAsia="宋体" w:cs="宋体"/>
                <w:color w:val="auto"/>
                <w:sz w:val="18"/>
                <w:szCs w:val="18"/>
                <w:highlight w:val="none"/>
                <w:lang w:bidi="ar"/>
              </w:rPr>
            </w:pPr>
          </w:p>
        </w:tc>
        <w:tc>
          <w:tcPr>
            <w:tcW w:w="1549" w:type="dxa"/>
            <w:vMerge w:val="continue"/>
            <w:tcBorders>
              <w:left w:val="single" w:color="000000" w:sz="4" w:space="0"/>
              <w:right w:val="single" w:color="000000" w:sz="4" w:space="0"/>
            </w:tcBorders>
            <w:noWrap/>
            <w:vAlign w:val="center"/>
          </w:tcPr>
          <w:p w14:paraId="27CF1C6E">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6480" w:type="dxa"/>
            <w:tcBorders>
              <w:top w:val="single" w:color="auto" w:sz="4" w:space="0"/>
              <w:left w:val="single" w:color="000000" w:sz="4" w:space="0"/>
              <w:bottom w:val="single" w:color="auto" w:sz="4" w:space="0"/>
              <w:right w:val="single" w:color="000000" w:sz="4" w:space="0"/>
            </w:tcBorders>
            <w:noWrap w:val="0"/>
            <w:vAlign w:val="center"/>
          </w:tcPr>
          <w:p w14:paraId="6C51A61C">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 xml:space="preserve">5、显卡 ≥RTX4060 独立显卡 </w:t>
            </w:r>
          </w:p>
        </w:tc>
        <w:tc>
          <w:tcPr>
            <w:tcW w:w="731" w:type="dxa"/>
            <w:vMerge w:val="continue"/>
            <w:tcBorders>
              <w:left w:val="single" w:color="000000" w:sz="4" w:space="0"/>
              <w:right w:val="single" w:color="000000" w:sz="4" w:space="0"/>
            </w:tcBorders>
            <w:noWrap/>
            <w:vAlign w:val="center"/>
          </w:tcPr>
          <w:p w14:paraId="0BD49D4F">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774" w:type="dxa"/>
            <w:vMerge w:val="continue"/>
            <w:tcBorders>
              <w:left w:val="single" w:color="000000" w:sz="4" w:space="0"/>
              <w:right w:val="single" w:color="000000" w:sz="4" w:space="0"/>
            </w:tcBorders>
            <w:noWrap/>
            <w:vAlign w:val="center"/>
          </w:tcPr>
          <w:p w14:paraId="5F636C85">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1357" w:type="dxa"/>
            <w:tcBorders>
              <w:top w:val="single" w:color="auto" w:sz="4" w:space="0"/>
              <w:left w:val="single" w:color="000000" w:sz="4" w:space="0"/>
              <w:bottom w:val="single" w:color="auto" w:sz="4" w:space="0"/>
              <w:right w:val="single" w:color="auto" w:sz="4" w:space="0"/>
            </w:tcBorders>
            <w:noWrap w:val="0"/>
            <w:vAlign w:val="center"/>
          </w:tcPr>
          <w:p w14:paraId="1C0EA46B">
            <w:pPr>
              <w:rPr>
                <w:rFonts w:hint="eastAsia" w:ascii="宋体" w:hAnsi="宋体" w:eastAsia="宋体" w:cs="宋体"/>
                <w:color w:val="auto"/>
                <w:sz w:val="22"/>
                <w:szCs w:val="22"/>
                <w:highlight w:val="none"/>
              </w:rPr>
            </w:pPr>
          </w:p>
        </w:tc>
        <w:tc>
          <w:tcPr>
            <w:tcW w:w="1241" w:type="dxa"/>
            <w:vMerge w:val="continue"/>
            <w:tcBorders>
              <w:left w:val="single" w:color="auto" w:sz="4" w:space="0"/>
              <w:right w:val="single" w:color="auto" w:sz="4" w:space="0"/>
            </w:tcBorders>
            <w:noWrap w:val="0"/>
            <w:vAlign w:val="center"/>
          </w:tcPr>
          <w:p w14:paraId="022F4955">
            <w:pPr>
              <w:rPr>
                <w:rFonts w:hint="eastAsia" w:ascii="宋体" w:hAnsi="宋体" w:eastAsia="宋体" w:cs="宋体"/>
                <w:color w:val="auto"/>
                <w:sz w:val="22"/>
                <w:szCs w:val="22"/>
                <w:highlight w:val="none"/>
              </w:rPr>
            </w:pPr>
          </w:p>
        </w:tc>
        <w:tc>
          <w:tcPr>
            <w:tcW w:w="1763" w:type="dxa"/>
            <w:tcBorders>
              <w:top w:val="single" w:color="auto" w:sz="4" w:space="0"/>
              <w:left w:val="single" w:color="auto" w:sz="4" w:space="0"/>
              <w:bottom w:val="single" w:color="auto" w:sz="4" w:space="0"/>
              <w:right w:val="single" w:color="auto" w:sz="4" w:space="0"/>
            </w:tcBorders>
            <w:noWrap w:val="0"/>
            <w:vAlign w:val="center"/>
          </w:tcPr>
          <w:p w14:paraId="297571C2">
            <w:pPr>
              <w:rPr>
                <w:rFonts w:hint="eastAsia" w:ascii="宋体" w:hAnsi="宋体" w:eastAsia="宋体" w:cs="宋体"/>
                <w:color w:val="auto"/>
                <w:sz w:val="22"/>
                <w:szCs w:val="22"/>
                <w:highlight w:val="none"/>
              </w:rPr>
            </w:pPr>
          </w:p>
        </w:tc>
      </w:tr>
      <w:tr w14:paraId="47926D36">
        <w:tblPrEx>
          <w:tblCellMar>
            <w:top w:w="0" w:type="dxa"/>
            <w:left w:w="108" w:type="dxa"/>
            <w:bottom w:w="0" w:type="dxa"/>
            <w:right w:w="108" w:type="dxa"/>
          </w:tblCellMar>
        </w:tblPrEx>
        <w:trPr>
          <w:trHeight w:val="393" w:hRule="atLeast"/>
          <w:jc w:val="center"/>
        </w:trPr>
        <w:tc>
          <w:tcPr>
            <w:tcW w:w="647" w:type="dxa"/>
            <w:vMerge w:val="continue"/>
            <w:tcBorders>
              <w:left w:val="single" w:color="000000" w:sz="4" w:space="0"/>
              <w:right w:val="single" w:color="000000" w:sz="4" w:space="0"/>
            </w:tcBorders>
            <w:noWrap/>
            <w:vAlign w:val="center"/>
          </w:tcPr>
          <w:p w14:paraId="2DE0FC30">
            <w:pPr>
              <w:jc w:val="center"/>
              <w:textAlignment w:val="center"/>
              <w:rPr>
                <w:rFonts w:hint="eastAsia" w:ascii="宋体" w:hAnsi="宋体" w:eastAsia="宋体" w:cs="宋体"/>
                <w:color w:val="auto"/>
                <w:sz w:val="18"/>
                <w:szCs w:val="18"/>
                <w:highlight w:val="none"/>
                <w:lang w:bidi="ar"/>
              </w:rPr>
            </w:pPr>
          </w:p>
        </w:tc>
        <w:tc>
          <w:tcPr>
            <w:tcW w:w="1549" w:type="dxa"/>
            <w:vMerge w:val="continue"/>
            <w:tcBorders>
              <w:left w:val="single" w:color="000000" w:sz="4" w:space="0"/>
              <w:right w:val="single" w:color="000000" w:sz="4" w:space="0"/>
            </w:tcBorders>
            <w:noWrap/>
            <w:vAlign w:val="center"/>
          </w:tcPr>
          <w:p w14:paraId="393586BC">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6480" w:type="dxa"/>
            <w:tcBorders>
              <w:top w:val="single" w:color="auto" w:sz="4" w:space="0"/>
              <w:left w:val="single" w:color="000000" w:sz="4" w:space="0"/>
              <w:right w:val="single" w:color="000000" w:sz="4" w:space="0"/>
            </w:tcBorders>
            <w:noWrap w:val="0"/>
            <w:vAlign w:val="center"/>
          </w:tcPr>
          <w:p w14:paraId="35E342FA">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6、网卡：板载千兆网卡；</w:t>
            </w:r>
          </w:p>
        </w:tc>
        <w:tc>
          <w:tcPr>
            <w:tcW w:w="731" w:type="dxa"/>
            <w:vMerge w:val="continue"/>
            <w:tcBorders>
              <w:left w:val="single" w:color="000000" w:sz="4" w:space="0"/>
              <w:right w:val="single" w:color="000000" w:sz="4" w:space="0"/>
            </w:tcBorders>
            <w:noWrap/>
            <w:vAlign w:val="center"/>
          </w:tcPr>
          <w:p w14:paraId="5F9F711B">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774" w:type="dxa"/>
            <w:vMerge w:val="continue"/>
            <w:tcBorders>
              <w:left w:val="single" w:color="000000" w:sz="4" w:space="0"/>
              <w:right w:val="single" w:color="000000" w:sz="4" w:space="0"/>
            </w:tcBorders>
            <w:noWrap/>
            <w:vAlign w:val="center"/>
          </w:tcPr>
          <w:p w14:paraId="4AA23652">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1357" w:type="dxa"/>
            <w:tcBorders>
              <w:top w:val="single" w:color="auto" w:sz="4" w:space="0"/>
              <w:left w:val="single" w:color="000000" w:sz="4" w:space="0"/>
              <w:bottom w:val="single" w:color="auto" w:sz="4" w:space="0"/>
              <w:right w:val="single" w:color="auto" w:sz="4" w:space="0"/>
            </w:tcBorders>
            <w:noWrap w:val="0"/>
            <w:vAlign w:val="center"/>
          </w:tcPr>
          <w:p w14:paraId="7DCD48C2">
            <w:pPr>
              <w:rPr>
                <w:rFonts w:hint="eastAsia" w:ascii="宋体" w:hAnsi="宋体" w:eastAsia="宋体" w:cs="宋体"/>
                <w:color w:val="auto"/>
                <w:sz w:val="22"/>
                <w:szCs w:val="22"/>
                <w:highlight w:val="none"/>
              </w:rPr>
            </w:pPr>
          </w:p>
        </w:tc>
        <w:tc>
          <w:tcPr>
            <w:tcW w:w="1241" w:type="dxa"/>
            <w:vMerge w:val="continue"/>
            <w:tcBorders>
              <w:left w:val="single" w:color="auto" w:sz="4" w:space="0"/>
              <w:right w:val="single" w:color="auto" w:sz="4" w:space="0"/>
            </w:tcBorders>
            <w:noWrap w:val="0"/>
            <w:vAlign w:val="center"/>
          </w:tcPr>
          <w:p w14:paraId="17F88D93">
            <w:pPr>
              <w:rPr>
                <w:rFonts w:hint="eastAsia" w:ascii="宋体" w:hAnsi="宋体" w:eastAsia="宋体" w:cs="宋体"/>
                <w:color w:val="auto"/>
                <w:sz w:val="22"/>
                <w:szCs w:val="22"/>
                <w:highlight w:val="none"/>
              </w:rPr>
            </w:pPr>
          </w:p>
        </w:tc>
        <w:tc>
          <w:tcPr>
            <w:tcW w:w="1763" w:type="dxa"/>
            <w:tcBorders>
              <w:top w:val="single" w:color="auto" w:sz="4" w:space="0"/>
              <w:left w:val="single" w:color="auto" w:sz="4" w:space="0"/>
              <w:bottom w:val="single" w:color="auto" w:sz="4" w:space="0"/>
              <w:right w:val="single" w:color="auto" w:sz="4" w:space="0"/>
            </w:tcBorders>
            <w:noWrap w:val="0"/>
            <w:vAlign w:val="center"/>
          </w:tcPr>
          <w:p w14:paraId="7A0838AE">
            <w:pPr>
              <w:rPr>
                <w:rFonts w:hint="eastAsia" w:ascii="宋体" w:hAnsi="宋体" w:eastAsia="宋体" w:cs="宋体"/>
                <w:color w:val="auto"/>
                <w:sz w:val="22"/>
                <w:szCs w:val="22"/>
                <w:highlight w:val="none"/>
              </w:rPr>
            </w:pPr>
          </w:p>
        </w:tc>
      </w:tr>
      <w:tr w14:paraId="038CD619">
        <w:tblPrEx>
          <w:tblCellMar>
            <w:top w:w="0" w:type="dxa"/>
            <w:left w:w="108" w:type="dxa"/>
            <w:bottom w:w="0" w:type="dxa"/>
            <w:right w:w="108" w:type="dxa"/>
          </w:tblCellMar>
        </w:tblPrEx>
        <w:trPr>
          <w:trHeight w:val="312" w:hRule="atLeast"/>
          <w:jc w:val="center"/>
        </w:trPr>
        <w:tc>
          <w:tcPr>
            <w:tcW w:w="647" w:type="dxa"/>
            <w:vMerge w:val="continue"/>
            <w:tcBorders>
              <w:left w:val="single" w:color="000000" w:sz="4" w:space="0"/>
              <w:right w:val="single" w:color="000000" w:sz="4" w:space="0"/>
            </w:tcBorders>
            <w:noWrap/>
            <w:vAlign w:val="center"/>
          </w:tcPr>
          <w:p w14:paraId="10168F1C">
            <w:pPr>
              <w:jc w:val="center"/>
              <w:textAlignment w:val="center"/>
              <w:rPr>
                <w:rFonts w:hint="eastAsia" w:ascii="宋体" w:hAnsi="宋体" w:eastAsia="宋体" w:cs="宋体"/>
                <w:color w:val="auto"/>
                <w:sz w:val="18"/>
                <w:szCs w:val="18"/>
                <w:highlight w:val="none"/>
                <w:lang w:bidi="ar"/>
              </w:rPr>
            </w:pPr>
          </w:p>
        </w:tc>
        <w:tc>
          <w:tcPr>
            <w:tcW w:w="1549" w:type="dxa"/>
            <w:vMerge w:val="continue"/>
            <w:tcBorders>
              <w:left w:val="single" w:color="000000" w:sz="4" w:space="0"/>
              <w:right w:val="single" w:color="000000" w:sz="4" w:space="0"/>
            </w:tcBorders>
            <w:noWrap/>
            <w:vAlign w:val="center"/>
          </w:tcPr>
          <w:p w14:paraId="08CAEC74">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6480" w:type="dxa"/>
            <w:tcBorders>
              <w:top w:val="single" w:color="auto" w:sz="4" w:space="0"/>
              <w:left w:val="single" w:color="000000" w:sz="4" w:space="0"/>
              <w:right w:val="single" w:color="000000" w:sz="4" w:space="0"/>
            </w:tcBorders>
            <w:noWrap w:val="0"/>
            <w:vAlign w:val="center"/>
          </w:tcPr>
          <w:p w14:paraId="50A58A3A">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7、声卡：集成</w:t>
            </w:r>
          </w:p>
        </w:tc>
        <w:tc>
          <w:tcPr>
            <w:tcW w:w="731" w:type="dxa"/>
            <w:vMerge w:val="continue"/>
            <w:tcBorders>
              <w:left w:val="single" w:color="000000" w:sz="4" w:space="0"/>
              <w:right w:val="single" w:color="000000" w:sz="4" w:space="0"/>
            </w:tcBorders>
            <w:noWrap/>
            <w:vAlign w:val="center"/>
          </w:tcPr>
          <w:p w14:paraId="177A18D4">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774" w:type="dxa"/>
            <w:vMerge w:val="continue"/>
            <w:tcBorders>
              <w:left w:val="single" w:color="000000" w:sz="4" w:space="0"/>
              <w:right w:val="single" w:color="000000" w:sz="4" w:space="0"/>
            </w:tcBorders>
            <w:noWrap/>
            <w:vAlign w:val="center"/>
          </w:tcPr>
          <w:p w14:paraId="3EB38306">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1357" w:type="dxa"/>
            <w:tcBorders>
              <w:top w:val="single" w:color="auto" w:sz="4" w:space="0"/>
              <w:left w:val="single" w:color="000000" w:sz="4" w:space="0"/>
              <w:bottom w:val="single" w:color="auto" w:sz="4" w:space="0"/>
              <w:right w:val="single" w:color="auto" w:sz="4" w:space="0"/>
            </w:tcBorders>
            <w:noWrap w:val="0"/>
            <w:vAlign w:val="center"/>
          </w:tcPr>
          <w:p w14:paraId="5C335F6A">
            <w:pPr>
              <w:rPr>
                <w:rFonts w:hint="eastAsia" w:ascii="宋体" w:hAnsi="宋体" w:eastAsia="宋体" w:cs="宋体"/>
                <w:color w:val="auto"/>
                <w:sz w:val="22"/>
                <w:szCs w:val="22"/>
                <w:highlight w:val="none"/>
              </w:rPr>
            </w:pPr>
          </w:p>
        </w:tc>
        <w:tc>
          <w:tcPr>
            <w:tcW w:w="1241" w:type="dxa"/>
            <w:vMerge w:val="continue"/>
            <w:tcBorders>
              <w:left w:val="single" w:color="auto" w:sz="4" w:space="0"/>
              <w:right w:val="single" w:color="auto" w:sz="4" w:space="0"/>
            </w:tcBorders>
            <w:noWrap w:val="0"/>
            <w:vAlign w:val="center"/>
          </w:tcPr>
          <w:p w14:paraId="2DFCDB73">
            <w:pPr>
              <w:rPr>
                <w:rFonts w:hint="eastAsia" w:ascii="宋体" w:hAnsi="宋体" w:eastAsia="宋体" w:cs="宋体"/>
                <w:color w:val="auto"/>
                <w:sz w:val="22"/>
                <w:szCs w:val="22"/>
                <w:highlight w:val="none"/>
              </w:rPr>
            </w:pPr>
          </w:p>
        </w:tc>
        <w:tc>
          <w:tcPr>
            <w:tcW w:w="1763" w:type="dxa"/>
            <w:tcBorders>
              <w:top w:val="single" w:color="auto" w:sz="4" w:space="0"/>
              <w:left w:val="single" w:color="auto" w:sz="4" w:space="0"/>
              <w:bottom w:val="single" w:color="auto" w:sz="4" w:space="0"/>
              <w:right w:val="single" w:color="auto" w:sz="4" w:space="0"/>
            </w:tcBorders>
            <w:noWrap w:val="0"/>
            <w:vAlign w:val="center"/>
          </w:tcPr>
          <w:p w14:paraId="387D9FF6">
            <w:pPr>
              <w:rPr>
                <w:rFonts w:hint="eastAsia" w:ascii="宋体" w:hAnsi="宋体" w:eastAsia="宋体" w:cs="宋体"/>
                <w:color w:val="auto"/>
                <w:sz w:val="22"/>
                <w:szCs w:val="22"/>
                <w:highlight w:val="none"/>
              </w:rPr>
            </w:pPr>
          </w:p>
        </w:tc>
      </w:tr>
      <w:tr w14:paraId="7B80D49A">
        <w:tblPrEx>
          <w:tblCellMar>
            <w:top w:w="0" w:type="dxa"/>
            <w:left w:w="108" w:type="dxa"/>
            <w:bottom w:w="0" w:type="dxa"/>
            <w:right w:w="108" w:type="dxa"/>
          </w:tblCellMar>
        </w:tblPrEx>
        <w:trPr>
          <w:trHeight w:val="312" w:hRule="atLeast"/>
          <w:jc w:val="center"/>
        </w:trPr>
        <w:tc>
          <w:tcPr>
            <w:tcW w:w="647" w:type="dxa"/>
            <w:vMerge w:val="continue"/>
            <w:tcBorders>
              <w:left w:val="single" w:color="000000" w:sz="4" w:space="0"/>
              <w:right w:val="single" w:color="000000" w:sz="4" w:space="0"/>
            </w:tcBorders>
            <w:noWrap/>
            <w:vAlign w:val="center"/>
          </w:tcPr>
          <w:p w14:paraId="75A09829">
            <w:pPr>
              <w:jc w:val="center"/>
              <w:textAlignment w:val="center"/>
              <w:rPr>
                <w:rFonts w:hint="eastAsia" w:ascii="宋体" w:hAnsi="宋体" w:eastAsia="宋体" w:cs="宋体"/>
                <w:color w:val="auto"/>
                <w:sz w:val="18"/>
                <w:szCs w:val="18"/>
                <w:highlight w:val="none"/>
                <w:lang w:bidi="ar"/>
              </w:rPr>
            </w:pPr>
          </w:p>
        </w:tc>
        <w:tc>
          <w:tcPr>
            <w:tcW w:w="1549" w:type="dxa"/>
            <w:vMerge w:val="continue"/>
            <w:tcBorders>
              <w:left w:val="single" w:color="000000" w:sz="4" w:space="0"/>
              <w:right w:val="single" w:color="000000" w:sz="4" w:space="0"/>
            </w:tcBorders>
            <w:noWrap/>
            <w:vAlign w:val="center"/>
          </w:tcPr>
          <w:p w14:paraId="28436D58">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6480" w:type="dxa"/>
            <w:tcBorders>
              <w:top w:val="single" w:color="auto" w:sz="4" w:space="0"/>
              <w:left w:val="single" w:color="000000" w:sz="4" w:space="0"/>
              <w:right w:val="single" w:color="000000" w:sz="4" w:space="0"/>
            </w:tcBorders>
            <w:noWrap w:val="0"/>
            <w:vAlign w:val="center"/>
          </w:tcPr>
          <w:p w14:paraId="2945F77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8、IO接口 前置：USB3.0接口≥2，USB2.0接口≥2，麦克风接口≥1，耳机接口≥1</w:t>
            </w:r>
          </w:p>
        </w:tc>
        <w:tc>
          <w:tcPr>
            <w:tcW w:w="731" w:type="dxa"/>
            <w:vMerge w:val="continue"/>
            <w:tcBorders>
              <w:left w:val="single" w:color="000000" w:sz="4" w:space="0"/>
              <w:right w:val="single" w:color="000000" w:sz="4" w:space="0"/>
            </w:tcBorders>
            <w:noWrap/>
            <w:vAlign w:val="center"/>
          </w:tcPr>
          <w:p w14:paraId="43D4FFED">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774" w:type="dxa"/>
            <w:vMerge w:val="continue"/>
            <w:tcBorders>
              <w:left w:val="single" w:color="000000" w:sz="4" w:space="0"/>
              <w:right w:val="single" w:color="000000" w:sz="4" w:space="0"/>
            </w:tcBorders>
            <w:noWrap/>
            <w:vAlign w:val="center"/>
          </w:tcPr>
          <w:p w14:paraId="6C2010C4">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1357" w:type="dxa"/>
            <w:tcBorders>
              <w:top w:val="single" w:color="auto" w:sz="4" w:space="0"/>
              <w:left w:val="single" w:color="000000" w:sz="4" w:space="0"/>
              <w:bottom w:val="single" w:color="auto" w:sz="4" w:space="0"/>
              <w:right w:val="single" w:color="auto" w:sz="4" w:space="0"/>
            </w:tcBorders>
            <w:noWrap w:val="0"/>
            <w:vAlign w:val="center"/>
          </w:tcPr>
          <w:p w14:paraId="2E4A2F10">
            <w:pPr>
              <w:rPr>
                <w:rFonts w:hint="eastAsia" w:ascii="宋体" w:hAnsi="宋体" w:eastAsia="宋体" w:cs="宋体"/>
                <w:color w:val="auto"/>
                <w:sz w:val="22"/>
                <w:szCs w:val="22"/>
                <w:highlight w:val="none"/>
              </w:rPr>
            </w:pPr>
          </w:p>
        </w:tc>
        <w:tc>
          <w:tcPr>
            <w:tcW w:w="1241" w:type="dxa"/>
            <w:vMerge w:val="continue"/>
            <w:tcBorders>
              <w:left w:val="single" w:color="auto" w:sz="4" w:space="0"/>
              <w:right w:val="single" w:color="auto" w:sz="4" w:space="0"/>
            </w:tcBorders>
            <w:noWrap w:val="0"/>
            <w:vAlign w:val="center"/>
          </w:tcPr>
          <w:p w14:paraId="0876DA03">
            <w:pPr>
              <w:rPr>
                <w:rFonts w:hint="eastAsia" w:ascii="宋体" w:hAnsi="宋体" w:eastAsia="宋体" w:cs="宋体"/>
                <w:color w:val="auto"/>
                <w:sz w:val="22"/>
                <w:szCs w:val="22"/>
                <w:highlight w:val="none"/>
              </w:rPr>
            </w:pPr>
          </w:p>
        </w:tc>
        <w:tc>
          <w:tcPr>
            <w:tcW w:w="1763" w:type="dxa"/>
            <w:tcBorders>
              <w:top w:val="single" w:color="auto" w:sz="4" w:space="0"/>
              <w:left w:val="single" w:color="auto" w:sz="4" w:space="0"/>
              <w:bottom w:val="single" w:color="auto" w:sz="4" w:space="0"/>
              <w:right w:val="single" w:color="auto" w:sz="4" w:space="0"/>
            </w:tcBorders>
            <w:noWrap w:val="0"/>
            <w:vAlign w:val="center"/>
          </w:tcPr>
          <w:p w14:paraId="7D738A90">
            <w:pPr>
              <w:rPr>
                <w:rFonts w:hint="eastAsia" w:ascii="宋体" w:hAnsi="宋体" w:eastAsia="宋体" w:cs="宋体"/>
                <w:color w:val="auto"/>
                <w:sz w:val="22"/>
                <w:szCs w:val="22"/>
                <w:highlight w:val="none"/>
              </w:rPr>
            </w:pPr>
          </w:p>
        </w:tc>
      </w:tr>
      <w:tr w14:paraId="3FCF7C04">
        <w:tblPrEx>
          <w:tblCellMar>
            <w:top w:w="0" w:type="dxa"/>
            <w:left w:w="108" w:type="dxa"/>
            <w:bottom w:w="0" w:type="dxa"/>
            <w:right w:w="108" w:type="dxa"/>
          </w:tblCellMar>
        </w:tblPrEx>
        <w:trPr>
          <w:trHeight w:val="339" w:hRule="atLeast"/>
          <w:jc w:val="center"/>
        </w:trPr>
        <w:tc>
          <w:tcPr>
            <w:tcW w:w="647" w:type="dxa"/>
            <w:vMerge w:val="continue"/>
            <w:tcBorders>
              <w:left w:val="single" w:color="000000" w:sz="4" w:space="0"/>
              <w:right w:val="single" w:color="000000" w:sz="4" w:space="0"/>
            </w:tcBorders>
            <w:noWrap/>
            <w:vAlign w:val="center"/>
          </w:tcPr>
          <w:p w14:paraId="5C9CED06">
            <w:pPr>
              <w:jc w:val="center"/>
              <w:textAlignment w:val="center"/>
              <w:rPr>
                <w:rFonts w:hint="eastAsia" w:ascii="宋体" w:hAnsi="宋体" w:eastAsia="宋体" w:cs="宋体"/>
                <w:color w:val="auto"/>
                <w:sz w:val="18"/>
                <w:szCs w:val="18"/>
                <w:highlight w:val="none"/>
                <w:lang w:bidi="ar"/>
              </w:rPr>
            </w:pPr>
          </w:p>
        </w:tc>
        <w:tc>
          <w:tcPr>
            <w:tcW w:w="1549" w:type="dxa"/>
            <w:vMerge w:val="continue"/>
            <w:tcBorders>
              <w:left w:val="single" w:color="000000" w:sz="4" w:space="0"/>
              <w:right w:val="single" w:color="000000" w:sz="4" w:space="0"/>
            </w:tcBorders>
            <w:noWrap/>
            <w:vAlign w:val="center"/>
          </w:tcPr>
          <w:p w14:paraId="45E19E7A">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6480" w:type="dxa"/>
            <w:tcBorders>
              <w:top w:val="single" w:color="auto" w:sz="4" w:space="0"/>
              <w:left w:val="single" w:color="000000" w:sz="4" w:space="0"/>
              <w:right w:val="single" w:color="000000" w:sz="4" w:space="0"/>
            </w:tcBorders>
            <w:noWrap w:val="0"/>
            <w:vAlign w:val="center"/>
          </w:tcPr>
          <w:p w14:paraId="1733B829">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9、后置：USB3.2接口</w:t>
            </w:r>
            <w:r>
              <w:rPr>
                <w:rFonts w:hint="eastAsia" w:ascii="宋体" w:hAnsi="宋体" w:eastAsia="宋体" w:cs="宋体"/>
                <w:color w:val="auto"/>
                <w:sz w:val="18"/>
                <w:szCs w:val="18"/>
                <w:highlight w:val="none"/>
                <w:lang w:val="en-US" w:eastAsia="zh-CN"/>
              </w:rPr>
              <w:t>≥</w:t>
            </w:r>
            <w:r>
              <w:rPr>
                <w:rFonts w:hint="eastAsia" w:ascii="宋体" w:hAnsi="宋体" w:eastAsia="宋体" w:cs="宋体"/>
                <w:b w:val="0"/>
                <w:bCs w:val="0"/>
                <w:color w:val="auto"/>
                <w:sz w:val="18"/>
                <w:szCs w:val="18"/>
                <w:highlight w:val="none"/>
                <w:lang w:val="en-US" w:eastAsia="zh-CN"/>
              </w:rPr>
              <w:t>4，USB2.0接口</w:t>
            </w:r>
            <w:r>
              <w:rPr>
                <w:rFonts w:hint="eastAsia" w:ascii="宋体" w:hAnsi="宋体" w:eastAsia="宋体" w:cs="宋体"/>
                <w:color w:val="auto"/>
                <w:sz w:val="18"/>
                <w:szCs w:val="18"/>
                <w:highlight w:val="none"/>
                <w:lang w:val="en-US" w:eastAsia="zh-CN"/>
              </w:rPr>
              <w:t>≥</w:t>
            </w:r>
            <w:r>
              <w:rPr>
                <w:rFonts w:hint="eastAsia" w:ascii="宋体" w:hAnsi="宋体" w:eastAsia="宋体" w:cs="宋体"/>
                <w:b w:val="0"/>
                <w:bCs w:val="0"/>
                <w:color w:val="auto"/>
                <w:sz w:val="18"/>
                <w:szCs w:val="18"/>
                <w:highlight w:val="none"/>
                <w:lang w:val="en-US" w:eastAsia="zh-CN"/>
              </w:rPr>
              <w:t>2， PS/2接口</w:t>
            </w:r>
            <w:r>
              <w:rPr>
                <w:rFonts w:hint="eastAsia" w:ascii="宋体" w:hAnsi="宋体" w:eastAsia="宋体" w:cs="宋体"/>
                <w:color w:val="auto"/>
                <w:sz w:val="18"/>
                <w:szCs w:val="18"/>
                <w:highlight w:val="none"/>
                <w:lang w:val="en-US" w:eastAsia="zh-CN"/>
              </w:rPr>
              <w:t>≥</w:t>
            </w:r>
            <w:r>
              <w:rPr>
                <w:rFonts w:hint="eastAsia" w:ascii="宋体" w:hAnsi="宋体" w:eastAsia="宋体" w:cs="宋体"/>
                <w:b w:val="0"/>
                <w:bCs w:val="0"/>
                <w:color w:val="auto"/>
                <w:sz w:val="18"/>
                <w:szCs w:val="18"/>
                <w:highlight w:val="none"/>
                <w:lang w:val="en-US" w:eastAsia="zh-CN"/>
              </w:rPr>
              <w:t>1，RJ45网络接口</w:t>
            </w:r>
            <w:r>
              <w:rPr>
                <w:rFonts w:hint="eastAsia" w:ascii="宋体" w:hAnsi="宋体" w:eastAsia="宋体" w:cs="宋体"/>
                <w:color w:val="auto"/>
                <w:sz w:val="18"/>
                <w:szCs w:val="18"/>
                <w:highlight w:val="none"/>
                <w:lang w:val="en-US" w:eastAsia="zh-CN"/>
              </w:rPr>
              <w:t>≥</w:t>
            </w:r>
            <w:r>
              <w:rPr>
                <w:rFonts w:hint="eastAsia" w:ascii="宋体" w:hAnsi="宋体" w:eastAsia="宋体" w:cs="宋体"/>
                <w:b w:val="0"/>
                <w:bCs w:val="0"/>
                <w:color w:val="auto"/>
                <w:sz w:val="18"/>
                <w:szCs w:val="18"/>
                <w:highlight w:val="none"/>
                <w:lang w:val="en-US" w:eastAsia="zh-CN"/>
              </w:rPr>
              <w:t>1，音频接口</w:t>
            </w:r>
            <w:r>
              <w:rPr>
                <w:rFonts w:hint="eastAsia" w:ascii="宋体" w:hAnsi="宋体" w:eastAsia="宋体" w:cs="宋体"/>
                <w:color w:val="auto"/>
                <w:sz w:val="18"/>
                <w:szCs w:val="18"/>
                <w:highlight w:val="none"/>
                <w:lang w:val="en-US" w:eastAsia="zh-CN"/>
              </w:rPr>
              <w:t>≥</w:t>
            </w:r>
            <w:r>
              <w:rPr>
                <w:rFonts w:hint="eastAsia" w:ascii="宋体" w:hAnsi="宋体" w:eastAsia="宋体" w:cs="宋体"/>
                <w:b w:val="0"/>
                <w:bCs w:val="0"/>
                <w:color w:val="auto"/>
                <w:sz w:val="18"/>
                <w:szCs w:val="18"/>
                <w:highlight w:val="none"/>
                <w:lang w:val="en-US" w:eastAsia="zh-CN"/>
              </w:rPr>
              <w:t>1组， HDMI接口</w:t>
            </w:r>
            <w:r>
              <w:rPr>
                <w:rFonts w:hint="eastAsia" w:ascii="宋体" w:hAnsi="宋体" w:eastAsia="宋体" w:cs="宋体"/>
                <w:color w:val="auto"/>
                <w:sz w:val="18"/>
                <w:szCs w:val="18"/>
                <w:highlight w:val="none"/>
                <w:lang w:val="en-US" w:eastAsia="zh-CN"/>
              </w:rPr>
              <w:t>≥</w:t>
            </w:r>
            <w:r>
              <w:rPr>
                <w:rFonts w:hint="eastAsia" w:ascii="宋体" w:hAnsi="宋体" w:eastAsia="宋体" w:cs="宋体"/>
                <w:b w:val="0"/>
                <w:bCs w:val="0"/>
                <w:color w:val="auto"/>
                <w:sz w:val="18"/>
                <w:szCs w:val="18"/>
                <w:highlight w:val="none"/>
                <w:lang w:val="en-US" w:eastAsia="zh-CN"/>
              </w:rPr>
              <w:t>1，VGA接口</w:t>
            </w:r>
            <w:r>
              <w:rPr>
                <w:rFonts w:hint="eastAsia" w:ascii="宋体" w:hAnsi="宋体" w:eastAsia="宋体" w:cs="宋体"/>
                <w:color w:val="auto"/>
                <w:sz w:val="18"/>
                <w:szCs w:val="18"/>
                <w:highlight w:val="none"/>
                <w:lang w:val="en-US" w:eastAsia="zh-CN"/>
              </w:rPr>
              <w:t>≥</w:t>
            </w:r>
            <w:r>
              <w:rPr>
                <w:rFonts w:hint="eastAsia" w:ascii="宋体" w:hAnsi="宋体" w:eastAsia="宋体" w:cs="宋体"/>
                <w:b w:val="0"/>
                <w:bCs w:val="0"/>
                <w:color w:val="auto"/>
                <w:sz w:val="18"/>
                <w:szCs w:val="18"/>
                <w:highlight w:val="none"/>
                <w:lang w:val="en-US" w:eastAsia="zh-CN"/>
              </w:rPr>
              <w:t>1；</w:t>
            </w:r>
          </w:p>
        </w:tc>
        <w:tc>
          <w:tcPr>
            <w:tcW w:w="731" w:type="dxa"/>
            <w:vMerge w:val="continue"/>
            <w:tcBorders>
              <w:left w:val="single" w:color="000000" w:sz="4" w:space="0"/>
              <w:right w:val="single" w:color="000000" w:sz="4" w:space="0"/>
            </w:tcBorders>
            <w:noWrap/>
            <w:vAlign w:val="center"/>
          </w:tcPr>
          <w:p w14:paraId="3597DED0">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774" w:type="dxa"/>
            <w:vMerge w:val="continue"/>
            <w:tcBorders>
              <w:left w:val="single" w:color="000000" w:sz="4" w:space="0"/>
              <w:right w:val="single" w:color="000000" w:sz="4" w:space="0"/>
            </w:tcBorders>
            <w:noWrap/>
            <w:vAlign w:val="center"/>
          </w:tcPr>
          <w:p w14:paraId="7D628E2A">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1357" w:type="dxa"/>
            <w:tcBorders>
              <w:top w:val="single" w:color="auto" w:sz="4" w:space="0"/>
              <w:left w:val="single" w:color="000000" w:sz="4" w:space="0"/>
              <w:bottom w:val="single" w:color="auto" w:sz="4" w:space="0"/>
              <w:right w:val="single" w:color="auto" w:sz="4" w:space="0"/>
            </w:tcBorders>
            <w:noWrap w:val="0"/>
            <w:vAlign w:val="center"/>
          </w:tcPr>
          <w:p w14:paraId="7C47CE16">
            <w:pPr>
              <w:rPr>
                <w:rFonts w:hint="eastAsia" w:ascii="宋体" w:hAnsi="宋体" w:eastAsia="宋体" w:cs="宋体"/>
                <w:color w:val="auto"/>
                <w:sz w:val="22"/>
                <w:szCs w:val="22"/>
                <w:highlight w:val="none"/>
              </w:rPr>
            </w:pPr>
          </w:p>
        </w:tc>
        <w:tc>
          <w:tcPr>
            <w:tcW w:w="1241" w:type="dxa"/>
            <w:vMerge w:val="continue"/>
            <w:tcBorders>
              <w:left w:val="single" w:color="auto" w:sz="4" w:space="0"/>
              <w:right w:val="single" w:color="auto" w:sz="4" w:space="0"/>
            </w:tcBorders>
            <w:noWrap w:val="0"/>
            <w:vAlign w:val="center"/>
          </w:tcPr>
          <w:p w14:paraId="384CABA6">
            <w:pPr>
              <w:rPr>
                <w:rFonts w:hint="eastAsia" w:ascii="宋体" w:hAnsi="宋体" w:eastAsia="宋体" w:cs="宋体"/>
                <w:color w:val="auto"/>
                <w:sz w:val="22"/>
                <w:szCs w:val="22"/>
                <w:highlight w:val="none"/>
              </w:rPr>
            </w:pPr>
          </w:p>
        </w:tc>
        <w:tc>
          <w:tcPr>
            <w:tcW w:w="1763" w:type="dxa"/>
            <w:tcBorders>
              <w:top w:val="single" w:color="auto" w:sz="4" w:space="0"/>
              <w:left w:val="single" w:color="auto" w:sz="4" w:space="0"/>
              <w:bottom w:val="single" w:color="auto" w:sz="4" w:space="0"/>
              <w:right w:val="single" w:color="auto" w:sz="4" w:space="0"/>
            </w:tcBorders>
            <w:noWrap w:val="0"/>
            <w:vAlign w:val="center"/>
          </w:tcPr>
          <w:p w14:paraId="5C2EA34E">
            <w:pPr>
              <w:rPr>
                <w:rFonts w:hint="eastAsia" w:ascii="宋体" w:hAnsi="宋体" w:eastAsia="宋体" w:cs="宋体"/>
                <w:color w:val="auto"/>
                <w:sz w:val="22"/>
                <w:szCs w:val="22"/>
                <w:highlight w:val="none"/>
              </w:rPr>
            </w:pPr>
          </w:p>
        </w:tc>
      </w:tr>
      <w:tr w14:paraId="759D55C6">
        <w:tblPrEx>
          <w:tblCellMar>
            <w:top w:w="0" w:type="dxa"/>
            <w:left w:w="108" w:type="dxa"/>
            <w:bottom w:w="0" w:type="dxa"/>
            <w:right w:w="108" w:type="dxa"/>
          </w:tblCellMar>
        </w:tblPrEx>
        <w:trPr>
          <w:trHeight w:val="377" w:hRule="atLeast"/>
          <w:jc w:val="center"/>
        </w:trPr>
        <w:tc>
          <w:tcPr>
            <w:tcW w:w="647" w:type="dxa"/>
            <w:vMerge w:val="continue"/>
            <w:tcBorders>
              <w:left w:val="single" w:color="000000" w:sz="4" w:space="0"/>
              <w:right w:val="single" w:color="000000" w:sz="4" w:space="0"/>
            </w:tcBorders>
            <w:noWrap/>
            <w:vAlign w:val="center"/>
          </w:tcPr>
          <w:p w14:paraId="6F5ACC1E">
            <w:pPr>
              <w:jc w:val="center"/>
              <w:textAlignment w:val="center"/>
              <w:rPr>
                <w:rFonts w:hint="eastAsia" w:ascii="宋体" w:hAnsi="宋体" w:eastAsia="宋体" w:cs="宋体"/>
                <w:color w:val="auto"/>
                <w:sz w:val="18"/>
                <w:szCs w:val="18"/>
                <w:highlight w:val="none"/>
                <w:lang w:bidi="ar"/>
              </w:rPr>
            </w:pPr>
          </w:p>
        </w:tc>
        <w:tc>
          <w:tcPr>
            <w:tcW w:w="1549" w:type="dxa"/>
            <w:vMerge w:val="continue"/>
            <w:tcBorders>
              <w:left w:val="single" w:color="000000" w:sz="4" w:space="0"/>
              <w:right w:val="single" w:color="000000" w:sz="4" w:space="0"/>
            </w:tcBorders>
            <w:noWrap/>
            <w:vAlign w:val="center"/>
          </w:tcPr>
          <w:p w14:paraId="7CFD93FB">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6480" w:type="dxa"/>
            <w:tcBorders>
              <w:top w:val="single" w:color="auto" w:sz="4" w:space="0"/>
              <w:left w:val="single" w:color="000000" w:sz="4" w:space="0"/>
              <w:right w:val="single" w:color="000000" w:sz="4" w:space="0"/>
            </w:tcBorders>
            <w:noWrap w:val="0"/>
            <w:vAlign w:val="center"/>
          </w:tcPr>
          <w:p w14:paraId="6055E38F">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10、电源 ≥500W多路电源  输出插头≥4；</w:t>
            </w:r>
          </w:p>
        </w:tc>
        <w:tc>
          <w:tcPr>
            <w:tcW w:w="731" w:type="dxa"/>
            <w:vMerge w:val="continue"/>
            <w:tcBorders>
              <w:left w:val="single" w:color="000000" w:sz="4" w:space="0"/>
              <w:right w:val="single" w:color="000000" w:sz="4" w:space="0"/>
            </w:tcBorders>
            <w:noWrap/>
            <w:vAlign w:val="center"/>
          </w:tcPr>
          <w:p w14:paraId="1ED06583">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774" w:type="dxa"/>
            <w:vMerge w:val="continue"/>
            <w:tcBorders>
              <w:left w:val="single" w:color="000000" w:sz="4" w:space="0"/>
              <w:right w:val="single" w:color="000000" w:sz="4" w:space="0"/>
            </w:tcBorders>
            <w:noWrap/>
            <w:vAlign w:val="center"/>
          </w:tcPr>
          <w:p w14:paraId="353B1C5B">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1357" w:type="dxa"/>
            <w:tcBorders>
              <w:top w:val="single" w:color="auto" w:sz="4" w:space="0"/>
              <w:left w:val="single" w:color="000000" w:sz="4" w:space="0"/>
              <w:bottom w:val="single" w:color="auto" w:sz="4" w:space="0"/>
              <w:right w:val="single" w:color="auto" w:sz="4" w:space="0"/>
            </w:tcBorders>
            <w:noWrap w:val="0"/>
            <w:vAlign w:val="center"/>
          </w:tcPr>
          <w:p w14:paraId="408B67DE">
            <w:pPr>
              <w:rPr>
                <w:rFonts w:hint="eastAsia" w:ascii="宋体" w:hAnsi="宋体" w:eastAsia="宋体" w:cs="宋体"/>
                <w:color w:val="auto"/>
                <w:sz w:val="22"/>
                <w:szCs w:val="22"/>
                <w:highlight w:val="none"/>
              </w:rPr>
            </w:pPr>
          </w:p>
        </w:tc>
        <w:tc>
          <w:tcPr>
            <w:tcW w:w="1241" w:type="dxa"/>
            <w:vMerge w:val="continue"/>
            <w:tcBorders>
              <w:left w:val="single" w:color="auto" w:sz="4" w:space="0"/>
              <w:right w:val="single" w:color="auto" w:sz="4" w:space="0"/>
            </w:tcBorders>
            <w:noWrap w:val="0"/>
            <w:vAlign w:val="center"/>
          </w:tcPr>
          <w:p w14:paraId="2812CF53">
            <w:pPr>
              <w:rPr>
                <w:rFonts w:hint="eastAsia" w:ascii="宋体" w:hAnsi="宋体" w:eastAsia="宋体" w:cs="宋体"/>
                <w:color w:val="auto"/>
                <w:sz w:val="22"/>
                <w:szCs w:val="22"/>
                <w:highlight w:val="none"/>
              </w:rPr>
            </w:pPr>
          </w:p>
        </w:tc>
        <w:tc>
          <w:tcPr>
            <w:tcW w:w="1763" w:type="dxa"/>
            <w:tcBorders>
              <w:top w:val="single" w:color="auto" w:sz="4" w:space="0"/>
              <w:left w:val="single" w:color="auto" w:sz="4" w:space="0"/>
              <w:bottom w:val="single" w:color="auto" w:sz="4" w:space="0"/>
              <w:right w:val="single" w:color="auto" w:sz="4" w:space="0"/>
            </w:tcBorders>
            <w:noWrap w:val="0"/>
            <w:vAlign w:val="center"/>
          </w:tcPr>
          <w:p w14:paraId="5DEB562D">
            <w:pPr>
              <w:rPr>
                <w:rFonts w:hint="eastAsia" w:ascii="宋体" w:hAnsi="宋体" w:eastAsia="宋体" w:cs="宋体"/>
                <w:color w:val="auto"/>
                <w:sz w:val="22"/>
                <w:szCs w:val="22"/>
                <w:highlight w:val="none"/>
              </w:rPr>
            </w:pPr>
          </w:p>
        </w:tc>
      </w:tr>
      <w:tr w14:paraId="49FCE1FD">
        <w:tblPrEx>
          <w:tblCellMar>
            <w:top w:w="0" w:type="dxa"/>
            <w:left w:w="108" w:type="dxa"/>
            <w:bottom w:w="0" w:type="dxa"/>
            <w:right w:w="108" w:type="dxa"/>
          </w:tblCellMar>
        </w:tblPrEx>
        <w:trPr>
          <w:trHeight w:val="411" w:hRule="atLeast"/>
          <w:jc w:val="center"/>
        </w:trPr>
        <w:tc>
          <w:tcPr>
            <w:tcW w:w="647" w:type="dxa"/>
            <w:vMerge w:val="continue"/>
            <w:tcBorders>
              <w:left w:val="single" w:color="000000" w:sz="4" w:space="0"/>
              <w:right w:val="single" w:color="000000" w:sz="4" w:space="0"/>
            </w:tcBorders>
            <w:noWrap/>
            <w:vAlign w:val="center"/>
          </w:tcPr>
          <w:p w14:paraId="64D93E40">
            <w:pPr>
              <w:jc w:val="center"/>
              <w:textAlignment w:val="center"/>
              <w:rPr>
                <w:rFonts w:hint="eastAsia" w:ascii="宋体" w:hAnsi="宋体" w:eastAsia="宋体" w:cs="宋体"/>
                <w:color w:val="auto"/>
                <w:sz w:val="18"/>
                <w:szCs w:val="18"/>
                <w:highlight w:val="none"/>
                <w:lang w:bidi="ar"/>
              </w:rPr>
            </w:pPr>
          </w:p>
        </w:tc>
        <w:tc>
          <w:tcPr>
            <w:tcW w:w="1549" w:type="dxa"/>
            <w:vMerge w:val="continue"/>
            <w:tcBorders>
              <w:left w:val="single" w:color="000000" w:sz="4" w:space="0"/>
              <w:right w:val="single" w:color="000000" w:sz="4" w:space="0"/>
            </w:tcBorders>
            <w:noWrap/>
            <w:vAlign w:val="center"/>
          </w:tcPr>
          <w:p w14:paraId="7BD69774">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6480" w:type="dxa"/>
            <w:tcBorders>
              <w:top w:val="single" w:color="auto" w:sz="4" w:space="0"/>
              <w:left w:val="single" w:color="000000" w:sz="4" w:space="0"/>
              <w:right w:val="single" w:color="000000" w:sz="4" w:space="0"/>
            </w:tcBorders>
            <w:noWrap w:val="0"/>
            <w:vAlign w:val="center"/>
          </w:tcPr>
          <w:p w14:paraId="5CAA6489">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11、机箱：立式机箱≥24L，机箱上部有提手，免工具开启机箱面板，前置I/O，前置电源开关和重启键，机箱后部预留有机箱安全锁位孔。机箱前面板预留标准光驱位和软驱位，便于后续扩展。</w:t>
            </w:r>
          </w:p>
        </w:tc>
        <w:tc>
          <w:tcPr>
            <w:tcW w:w="731" w:type="dxa"/>
            <w:vMerge w:val="continue"/>
            <w:tcBorders>
              <w:left w:val="single" w:color="000000" w:sz="4" w:space="0"/>
              <w:right w:val="single" w:color="000000" w:sz="4" w:space="0"/>
            </w:tcBorders>
            <w:noWrap/>
            <w:vAlign w:val="center"/>
          </w:tcPr>
          <w:p w14:paraId="1BF271A0">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774" w:type="dxa"/>
            <w:vMerge w:val="continue"/>
            <w:tcBorders>
              <w:left w:val="single" w:color="000000" w:sz="4" w:space="0"/>
              <w:right w:val="single" w:color="000000" w:sz="4" w:space="0"/>
            </w:tcBorders>
            <w:noWrap/>
            <w:vAlign w:val="center"/>
          </w:tcPr>
          <w:p w14:paraId="627C48D5">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1357" w:type="dxa"/>
            <w:tcBorders>
              <w:top w:val="single" w:color="auto" w:sz="4" w:space="0"/>
              <w:left w:val="single" w:color="000000" w:sz="4" w:space="0"/>
              <w:bottom w:val="single" w:color="auto" w:sz="4" w:space="0"/>
              <w:right w:val="single" w:color="auto" w:sz="4" w:space="0"/>
            </w:tcBorders>
            <w:noWrap w:val="0"/>
            <w:vAlign w:val="center"/>
          </w:tcPr>
          <w:p w14:paraId="2DC76D77">
            <w:pPr>
              <w:rPr>
                <w:rFonts w:hint="eastAsia" w:ascii="宋体" w:hAnsi="宋体" w:eastAsia="宋体" w:cs="宋体"/>
                <w:color w:val="auto"/>
                <w:sz w:val="22"/>
                <w:szCs w:val="22"/>
                <w:highlight w:val="none"/>
              </w:rPr>
            </w:pPr>
          </w:p>
        </w:tc>
        <w:tc>
          <w:tcPr>
            <w:tcW w:w="1241" w:type="dxa"/>
            <w:vMerge w:val="continue"/>
            <w:tcBorders>
              <w:left w:val="single" w:color="auto" w:sz="4" w:space="0"/>
              <w:right w:val="single" w:color="auto" w:sz="4" w:space="0"/>
            </w:tcBorders>
            <w:noWrap w:val="0"/>
            <w:vAlign w:val="center"/>
          </w:tcPr>
          <w:p w14:paraId="687ABC7D">
            <w:pPr>
              <w:rPr>
                <w:rFonts w:hint="eastAsia" w:ascii="宋体" w:hAnsi="宋体" w:eastAsia="宋体" w:cs="宋体"/>
                <w:color w:val="auto"/>
                <w:sz w:val="22"/>
                <w:szCs w:val="22"/>
                <w:highlight w:val="none"/>
              </w:rPr>
            </w:pPr>
          </w:p>
        </w:tc>
        <w:tc>
          <w:tcPr>
            <w:tcW w:w="1763" w:type="dxa"/>
            <w:tcBorders>
              <w:top w:val="single" w:color="auto" w:sz="4" w:space="0"/>
              <w:left w:val="single" w:color="auto" w:sz="4" w:space="0"/>
              <w:bottom w:val="single" w:color="auto" w:sz="4" w:space="0"/>
              <w:right w:val="single" w:color="auto" w:sz="4" w:space="0"/>
            </w:tcBorders>
            <w:noWrap w:val="0"/>
            <w:vAlign w:val="center"/>
          </w:tcPr>
          <w:p w14:paraId="17E30492">
            <w:pPr>
              <w:rPr>
                <w:rFonts w:hint="eastAsia" w:ascii="宋体" w:hAnsi="宋体" w:eastAsia="宋体" w:cs="宋体"/>
                <w:color w:val="auto"/>
                <w:sz w:val="22"/>
                <w:szCs w:val="22"/>
                <w:highlight w:val="none"/>
              </w:rPr>
            </w:pPr>
          </w:p>
        </w:tc>
      </w:tr>
      <w:tr w14:paraId="26FA001C">
        <w:tblPrEx>
          <w:tblCellMar>
            <w:top w:w="0" w:type="dxa"/>
            <w:left w:w="108" w:type="dxa"/>
            <w:bottom w:w="0" w:type="dxa"/>
            <w:right w:w="108" w:type="dxa"/>
          </w:tblCellMar>
        </w:tblPrEx>
        <w:trPr>
          <w:trHeight w:val="435" w:hRule="atLeast"/>
          <w:jc w:val="center"/>
        </w:trPr>
        <w:tc>
          <w:tcPr>
            <w:tcW w:w="647" w:type="dxa"/>
            <w:vMerge w:val="continue"/>
            <w:tcBorders>
              <w:left w:val="single" w:color="000000" w:sz="4" w:space="0"/>
              <w:right w:val="single" w:color="000000" w:sz="4" w:space="0"/>
            </w:tcBorders>
            <w:noWrap/>
            <w:vAlign w:val="center"/>
          </w:tcPr>
          <w:p w14:paraId="2AC78700">
            <w:pPr>
              <w:jc w:val="center"/>
              <w:textAlignment w:val="center"/>
              <w:rPr>
                <w:rFonts w:hint="eastAsia" w:ascii="宋体" w:hAnsi="宋体" w:eastAsia="宋体" w:cs="宋体"/>
                <w:color w:val="auto"/>
                <w:sz w:val="18"/>
                <w:szCs w:val="18"/>
                <w:highlight w:val="none"/>
                <w:lang w:bidi="ar"/>
              </w:rPr>
            </w:pPr>
          </w:p>
        </w:tc>
        <w:tc>
          <w:tcPr>
            <w:tcW w:w="1549" w:type="dxa"/>
            <w:vMerge w:val="continue"/>
            <w:tcBorders>
              <w:left w:val="single" w:color="000000" w:sz="4" w:space="0"/>
              <w:right w:val="single" w:color="000000" w:sz="4" w:space="0"/>
            </w:tcBorders>
            <w:noWrap/>
            <w:vAlign w:val="center"/>
          </w:tcPr>
          <w:p w14:paraId="63B091D2">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6480" w:type="dxa"/>
            <w:tcBorders>
              <w:top w:val="single" w:color="auto" w:sz="4" w:space="0"/>
              <w:left w:val="single" w:color="000000" w:sz="4" w:space="0"/>
              <w:bottom w:val="single" w:color="auto" w:sz="4" w:space="0"/>
              <w:right w:val="single" w:color="000000" w:sz="4" w:space="0"/>
            </w:tcBorders>
            <w:noWrap w:val="0"/>
            <w:vAlign w:val="center"/>
          </w:tcPr>
          <w:p w14:paraId="63FC892F">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12、键盘鼠标：光电鼠标键盘，通过抗菌测试。</w:t>
            </w:r>
          </w:p>
        </w:tc>
        <w:tc>
          <w:tcPr>
            <w:tcW w:w="731" w:type="dxa"/>
            <w:vMerge w:val="continue"/>
            <w:tcBorders>
              <w:left w:val="single" w:color="000000" w:sz="4" w:space="0"/>
              <w:right w:val="single" w:color="000000" w:sz="4" w:space="0"/>
            </w:tcBorders>
            <w:noWrap/>
            <w:vAlign w:val="center"/>
          </w:tcPr>
          <w:p w14:paraId="3B8C89AE">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774" w:type="dxa"/>
            <w:vMerge w:val="continue"/>
            <w:tcBorders>
              <w:left w:val="single" w:color="000000" w:sz="4" w:space="0"/>
              <w:right w:val="single" w:color="000000" w:sz="4" w:space="0"/>
            </w:tcBorders>
            <w:noWrap/>
            <w:vAlign w:val="center"/>
          </w:tcPr>
          <w:p w14:paraId="6290BC69">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1357" w:type="dxa"/>
            <w:tcBorders>
              <w:top w:val="single" w:color="auto" w:sz="4" w:space="0"/>
              <w:left w:val="single" w:color="000000" w:sz="4" w:space="0"/>
              <w:bottom w:val="single" w:color="auto" w:sz="4" w:space="0"/>
              <w:right w:val="single" w:color="auto" w:sz="4" w:space="0"/>
            </w:tcBorders>
            <w:noWrap w:val="0"/>
            <w:vAlign w:val="center"/>
          </w:tcPr>
          <w:p w14:paraId="0B76C9D0">
            <w:pPr>
              <w:rPr>
                <w:rFonts w:hint="eastAsia" w:ascii="宋体" w:hAnsi="宋体" w:eastAsia="宋体" w:cs="宋体"/>
                <w:color w:val="auto"/>
                <w:sz w:val="22"/>
                <w:szCs w:val="22"/>
                <w:highlight w:val="none"/>
              </w:rPr>
            </w:pPr>
          </w:p>
        </w:tc>
        <w:tc>
          <w:tcPr>
            <w:tcW w:w="1241" w:type="dxa"/>
            <w:vMerge w:val="continue"/>
            <w:tcBorders>
              <w:left w:val="single" w:color="auto" w:sz="4" w:space="0"/>
              <w:right w:val="single" w:color="auto" w:sz="4" w:space="0"/>
            </w:tcBorders>
            <w:noWrap w:val="0"/>
            <w:vAlign w:val="center"/>
          </w:tcPr>
          <w:p w14:paraId="41F85954">
            <w:pPr>
              <w:rPr>
                <w:rFonts w:hint="eastAsia" w:ascii="宋体" w:hAnsi="宋体" w:eastAsia="宋体" w:cs="宋体"/>
                <w:color w:val="auto"/>
                <w:sz w:val="22"/>
                <w:szCs w:val="22"/>
                <w:highlight w:val="none"/>
              </w:rPr>
            </w:pPr>
          </w:p>
        </w:tc>
        <w:tc>
          <w:tcPr>
            <w:tcW w:w="1763" w:type="dxa"/>
            <w:tcBorders>
              <w:top w:val="single" w:color="auto" w:sz="4" w:space="0"/>
              <w:left w:val="single" w:color="auto" w:sz="4" w:space="0"/>
              <w:bottom w:val="single" w:color="auto" w:sz="4" w:space="0"/>
              <w:right w:val="single" w:color="auto" w:sz="4" w:space="0"/>
            </w:tcBorders>
            <w:noWrap w:val="0"/>
            <w:vAlign w:val="center"/>
          </w:tcPr>
          <w:p w14:paraId="4C4705D2">
            <w:pPr>
              <w:rPr>
                <w:rFonts w:hint="eastAsia" w:ascii="宋体" w:hAnsi="宋体" w:eastAsia="宋体" w:cs="宋体"/>
                <w:color w:val="auto"/>
                <w:sz w:val="22"/>
                <w:szCs w:val="22"/>
                <w:highlight w:val="none"/>
              </w:rPr>
            </w:pPr>
          </w:p>
        </w:tc>
      </w:tr>
      <w:tr w14:paraId="5D41236D">
        <w:tblPrEx>
          <w:tblCellMar>
            <w:top w:w="0" w:type="dxa"/>
            <w:left w:w="108" w:type="dxa"/>
            <w:bottom w:w="0" w:type="dxa"/>
            <w:right w:w="108" w:type="dxa"/>
          </w:tblCellMar>
        </w:tblPrEx>
        <w:trPr>
          <w:trHeight w:val="312" w:hRule="atLeast"/>
          <w:jc w:val="center"/>
        </w:trPr>
        <w:tc>
          <w:tcPr>
            <w:tcW w:w="647" w:type="dxa"/>
            <w:vMerge w:val="continue"/>
            <w:tcBorders>
              <w:left w:val="single" w:color="000000" w:sz="4" w:space="0"/>
              <w:right w:val="single" w:color="000000" w:sz="4" w:space="0"/>
            </w:tcBorders>
            <w:noWrap/>
            <w:vAlign w:val="center"/>
          </w:tcPr>
          <w:p w14:paraId="32AD924E">
            <w:pPr>
              <w:jc w:val="center"/>
              <w:textAlignment w:val="center"/>
              <w:rPr>
                <w:rFonts w:hint="eastAsia" w:ascii="宋体" w:hAnsi="宋体" w:eastAsia="宋体" w:cs="宋体"/>
                <w:color w:val="auto"/>
                <w:sz w:val="18"/>
                <w:szCs w:val="18"/>
                <w:highlight w:val="none"/>
                <w:lang w:bidi="ar"/>
              </w:rPr>
            </w:pPr>
          </w:p>
        </w:tc>
        <w:tc>
          <w:tcPr>
            <w:tcW w:w="1549" w:type="dxa"/>
            <w:vMerge w:val="continue"/>
            <w:tcBorders>
              <w:left w:val="single" w:color="000000" w:sz="4" w:space="0"/>
              <w:right w:val="single" w:color="000000" w:sz="4" w:space="0"/>
            </w:tcBorders>
            <w:noWrap/>
            <w:vAlign w:val="center"/>
          </w:tcPr>
          <w:p w14:paraId="7028A3E2">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6480" w:type="dxa"/>
            <w:tcBorders>
              <w:top w:val="single" w:color="auto" w:sz="4" w:space="0"/>
              <w:left w:val="single" w:color="000000" w:sz="4" w:space="0"/>
              <w:right w:val="single" w:color="000000" w:sz="4" w:space="0"/>
            </w:tcBorders>
            <w:noWrap w:val="0"/>
            <w:vAlign w:val="center"/>
          </w:tcPr>
          <w:p w14:paraId="63BFD02F">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13、显示器 ≥23英寸LED显示器，分辨率</w:t>
            </w:r>
            <w:r>
              <w:rPr>
                <w:rFonts w:hint="eastAsia" w:ascii="宋体" w:hAnsi="宋体" w:eastAsia="宋体" w:cs="宋体"/>
                <w:color w:val="auto"/>
                <w:sz w:val="18"/>
                <w:szCs w:val="18"/>
                <w:highlight w:val="none"/>
                <w:lang w:val="en-US" w:eastAsia="zh-CN"/>
              </w:rPr>
              <w:t>≥</w:t>
            </w:r>
            <w:r>
              <w:rPr>
                <w:rFonts w:hint="eastAsia" w:ascii="宋体" w:hAnsi="宋体" w:eastAsia="宋体" w:cs="宋体"/>
                <w:b w:val="0"/>
                <w:bCs w:val="0"/>
                <w:color w:val="auto"/>
                <w:sz w:val="18"/>
                <w:szCs w:val="18"/>
                <w:highlight w:val="none"/>
                <w:lang w:val="en-US" w:eastAsia="zh-CN"/>
              </w:rPr>
              <w:t>2560 x 1440，响应时间5ms，具备VGA+HDMI视频接口，支持壁挂；</w:t>
            </w:r>
          </w:p>
        </w:tc>
        <w:tc>
          <w:tcPr>
            <w:tcW w:w="731" w:type="dxa"/>
            <w:vMerge w:val="continue"/>
            <w:tcBorders>
              <w:left w:val="single" w:color="000000" w:sz="4" w:space="0"/>
              <w:right w:val="single" w:color="000000" w:sz="4" w:space="0"/>
            </w:tcBorders>
            <w:noWrap/>
            <w:vAlign w:val="center"/>
          </w:tcPr>
          <w:p w14:paraId="66A63D3E">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774" w:type="dxa"/>
            <w:vMerge w:val="continue"/>
            <w:tcBorders>
              <w:left w:val="single" w:color="000000" w:sz="4" w:space="0"/>
              <w:right w:val="single" w:color="000000" w:sz="4" w:space="0"/>
            </w:tcBorders>
            <w:noWrap/>
            <w:vAlign w:val="center"/>
          </w:tcPr>
          <w:p w14:paraId="4DC0FD90">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1357" w:type="dxa"/>
            <w:vMerge w:val="restart"/>
            <w:tcBorders>
              <w:top w:val="single" w:color="auto" w:sz="4" w:space="0"/>
              <w:left w:val="single" w:color="000000" w:sz="4" w:space="0"/>
              <w:right w:val="single" w:color="auto" w:sz="4" w:space="0"/>
            </w:tcBorders>
            <w:noWrap w:val="0"/>
            <w:vAlign w:val="center"/>
          </w:tcPr>
          <w:p w14:paraId="36182008">
            <w:pPr>
              <w:rPr>
                <w:rFonts w:hint="eastAsia" w:ascii="宋体" w:hAnsi="宋体" w:eastAsia="宋体" w:cs="宋体"/>
                <w:color w:val="auto"/>
                <w:sz w:val="22"/>
                <w:szCs w:val="22"/>
                <w:highlight w:val="none"/>
              </w:rPr>
            </w:pPr>
          </w:p>
        </w:tc>
        <w:tc>
          <w:tcPr>
            <w:tcW w:w="1241" w:type="dxa"/>
            <w:vMerge w:val="continue"/>
            <w:tcBorders>
              <w:left w:val="single" w:color="auto" w:sz="4" w:space="0"/>
              <w:right w:val="single" w:color="auto" w:sz="4" w:space="0"/>
            </w:tcBorders>
            <w:noWrap w:val="0"/>
            <w:vAlign w:val="center"/>
          </w:tcPr>
          <w:p w14:paraId="73FD1507">
            <w:pPr>
              <w:rPr>
                <w:rFonts w:hint="eastAsia" w:ascii="宋体" w:hAnsi="宋体" w:eastAsia="宋体" w:cs="宋体"/>
                <w:color w:val="auto"/>
                <w:sz w:val="22"/>
                <w:szCs w:val="22"/>
                <w:highlight w:val="none"/>
              </w:rPr>
            </w:pPr>
          </w:p>
        </w:tc>
        <w:tc>
          <w:tcPr>
            <w:tcW w:w="1763" w:type="dxa"/>
            <w:tcBorders>
              <w:top w:val="single" w:color="auto" w:sz="4" w:space="0"/>
              <w:left w:val="single" w:color="auto" w:sz="4" w:space="0"/>
              <w:bottom w:val="single" w:color="auto" w:sz="4" w:space="0"/>
              <w:right w:val="single" w:color="auto" w:sz="4" w:space="0"/>
            </w:tcBorders>
            <w:noWrap w:val="0"/>
            <w:vAlign w:val="center"/>
          </w:tcPr>
          <w:p w14:paraId="7DCEC767">
            <w:pPr>
              <w:rPr>
                <w:rFonts w:hint="eastAsia" w:ascii="宋体" w:hAnsi="宋体" w:eastAsia="宋体" w:cs="宋体"/>
                <w:color w:val="auto"/>
                <w:sz w:val="22"/>
                <w:szCs w:val="22"/>
                <w:highlight w:val="none"/>
              </w:rPr>
            </w:pPr>
          </w:p>
        </w:tc>
      </w:tr>
      <w:tr w14:paraId="698F4BE0">
        <w:tblPrEx>
          <w:tblCellMar>
            <w:top w:w="0" w:type="dxa"/>
            <w:left w:w="108" w:type="dxa"/>
            <w:bottom w:w="0" w:type="dxa"/>
            <w:right w:w="108" w:type="dxa"/>
          </w:tblCellMar>
        </w:tblPrEx>
        <w:trPr>
          <w:trHeight w:val="244" w:hRule="atLeast"/>
          <w:jc w:val="center"/>
        </w:trPr>
        <w:tc>
          <w:tcPr>
            <w:tcW w:w="647" w:type="dxa"/>
            <w:vMerge w:val="continue"/>
            <w:tcBorders>
              <w:left w:val="single" w:color="000000" w:sz="4" w:space="0"/>
              <w:right w:val="single" w:color="000000" w:sz="4" w:space="0"/>
            </w:tcBorders>
            <w:noWrap/>
            <w:vAlign w:val="center"/>
          </w:tcPr>
          <w:p w14:paraId="330C2124">
            <w:pPr>
              <w:jc w:val="center"/>
              <w:textAlignment w:val="center"/>
              <w:rPr>
                <w:rFonts w:hint="eastAsia" w:ascii="宋体" w:hAnsi="宋体" w:eastAsia="宋体" w:cs="宋体"/>
                <w:color w:val="auto"/>
                <w:sz w:val="18"/>
                <w:szCs w:val="18"/>
                <w:highlight w:val="none"/>
                <w:lang w:bidi="ar"/>
              </w:rPr>
            </w:pPr>
          </w:p>
        </w:tc>
        <w:tc>
          <w:tcPr>
            <w:tcW w:w="1549" w:type="dxa"/>
            <w:vMerge w:val="continue"/>
            <w:tcBorders>
              <w:left w:val="single" w:color="000000" w:sz="4" w:space="0"/>
              <w:right w:val="single" w:color="000000" w:sz="4" w:space="0"/>
            </w:tcBorders>
            <w:noWrap/>
            <w:vAlign w:val="center"/>
          </w:tcPr>
          <w:p w14:paraId="0F098F87">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6480" w:type="dxa"/>
            <w:tcBorders>
              <w:top w:val="single" w:color="auto" w:sz="4" w:space="0"/>
              <w:left w:val="single" w:color="000000" w:sz="4" w:space="0"/>
              <w:bottom w:val="single" w:color="auto" w:sz="4" w:space="0"/>
              <w:right w:val="single" w:color="000000" w:sz="4" w:space="0"/>
            </w:tcBorders>
            <w:noWrap w:val="0"/>
            <w:vAlign w:val="center"/>
          </w:tcPr>
          <w:p w14:paraId="6486DE39">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14、操作系统 预装WIN10 Pro或优于WIN10 Pro操作系统</w:t>
            </w:r>
          </w:p>
        </w:tc>
        <w:tc>
          <w:tcPr>
            <w:tcW w:w="731" w:type="dxa"/>
            <w:vMerge w:val="continue"/>
            <w:tcBorders>
              <w:left w:val="single" w:color="000000" w:sz="4" w:space="0"/>
              <w:right w:val="single" w:color="000000" w:sz="4" w:space="0"/>
            </w:tcBorders>
            <w:noWrap/>
            <w:vAlign w:val="center"/>
          </w:tcPr>
          <w:p w14:paraId="076B6B25">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774" w:type="dxa"/>
            <w:vMerge w:val="continue"/>
            <w:tcBorders>
              <w:left w:val="single" w:color="000000" w:sz="4" w:space="0"/>
              <w:right w:val="single" w:color="000000" w:sz="4" w:space="0"/>
            </w:tcBorders>
            <w:noWrap/>
            <w:vAlign w:val="center"/>
          </w:tcPr>
          <w:p w14:paraId="764D4A75">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1357" w:type="dxa"/>
            <w:vMerge w:val="continue"/>
            <w:tcBorders>
              <w:top w:val="single" w:color="auto" w:sz="4" w:space="0"/>
              <w:left w:val="single" w:color="000000" w:sz="4" w:space="0"/>
              <w:bottom w:val="single" w:color="auto" w:sz="4" w:space="0"/>
              <w:right w:val="single" w:color="auto" w:sz="4" w:space="0"/>
            </w:tcBorders>
            <w:noWrap w:val="0"/>
            <w:vAlign w:val="center"/>
          </w:tcPr>
          <w:p w14:paraId="49374CA4">
            <w:pPr>
              <w:rPr>
                <w:rFonts w:hint="eastAsia" w:ascii="宋体" w:hAnsi="宋体" w:eastAsia="宋体" w:cs="宋体"/>
                <w:color w:val="auto"/>
                <w:sz w:val="22"/>
                <w:szCs w:val="22"/>
                <w:highlight w:val="none"/>
              </w:rPr>
            </w:pPr>
          </w:p>
        </w:tc>
        <w:tc>
          <w:tcPr>
            <w:tcW w:w="1241" w:type="dxa"/>
            <w:vMerge w:val="continue"/>
            <w:tcBorders>
              <w:left w:val="single" w:color="auto" w:sz="4" w:space="0"/>
              <w:right w:val="single" w:color="auto" w:sz="4" w:space="0"/>
            </w:tcBorders>
            <w:noWrap w:val="0"/>
            <w:vAlign w:val="center"/>
          </w:tcPr>
          <w:p w14:paraId="0CEAA901">
            <w:pPr>
              <w:rPr>
                <w:rFonts w:hint="eastAsia" w:ascii="宋体" w:hAnsi="宋体" w:eastAsia="宋体" w:cs="宋体"/>
                <w:color w:val="auto"/>
                <w:sz w:val="22"/>
                <w:szCs w:val="22"/>
                <w:highlight w:val="none"/>
              </w:rPr>
            </w:pPr>
          </w:p>
        </w:tc>
        <w:tc>
          <w:tcPr>
            <w:tcW w:w="1763" w:type="dxa"/>
            <w:tcBorders>
              <w:top w:val="single" w:color="auto" w:sz="4" w:space="0"/>
              <w:left w:val="single" w:color="auto" w:sz="4" w:space="0"/>
              <w:bottom w:val="single" w:color="auto" w:sz="4" w:space="0"/>
              <w:right w:val="single" w:color="auto" w:sz="4" w:space="0"/>
            </w:tcBorders>
            <w:noWrap w:val="0"/>
            <w:vAlign w:val="center"/>
          </w:tcPr>
          <w:p w14:paraId="0EF15858">
            <w:pPr>
              <w:rPr>
                <w:rFonts w:hint="eastAsia" w:ascii="宋体" w:hAnsi="宋体" w:eastAsia="宋体" w:cs="宋体"/>
                <w:color w:val="auto"/>
                <w:sz w:val="22"/>
                <w:szCs w:val="22"/>
                <w:highlight w:val="none"/>
              </w:rPr>
            </w:pPr>
          </w:p>
        </w:tc>
      </w:tr>
      <w:tr w14:paraId="4892BA64">
        <w:tblPrEx>
          <w:tblCellMar>
            <w:top w:w="0" w:type="dxa"/>
            <w:left w:w="108" w:type="dxa"/>
            <w:bottom w:w="0" w:type="dxa"/>
            <w:right w:w="108" w:type="dxa"/>
          </w:tblCellMar>
        </w:tblPrEx>
        <w:trPr>
          <w:trHeight w:val="428" w:hRule="atLeast"/>
          <w:jc w:val="center"/>
        </w:trPr>
        <w:tc>
          <w:tcPr>
            <w:tcW w:w="647" w:type="dxa"/>
            <w:vMerge w:val="continue"/>
            <w:tcBorders>
              <w:left w:val="single" w:color="000000" w:sz="4" w:space="0"/>
              <w:right w:val="single" w:color="000000" w:sz="4" w:space="0"/>
            </w:tcBorders>
            <w:noWrap/>
            <w:vAlign w:val="center"/>
          </w:tcPr>
          <w:p w14:paraId="5901CBFC">
            <w:pPr>
              <w:jc w:val="center"/>
              <w:textAlignment w:val="center"/>
              <w:rPr>
                <w:rFonts w:hint="eastAsia" w:ascii="宋体" w:hAnsi="宋体" w:eastAsia="宋体" w:cs="宋体"/>
                <w:color w:val="auto"/>
                <w:sz w:val="18"/>
                <w:szCs w:val="18"/>
                <w:highlight w:val="none"/>
                <w:lang w:bidi="ar"/>
              </w:rPr>
            </w:pPr>
          </w:p>
        </w:tc>
        <w:tc>
          <w:tcPr>
            <w:tcW w:w="1549" w:type="dxa"/>
            <w:vMerge w:val="continue"/>
            <w:tcBorders>
              <w:left w:val="single" w:color="000000" w:sz="4" w:space="0"/>
              <w:right w:val="single" w:color="000000" w:sz="4" w:space="0"/>
            </w:tcBorders>
            <w:noWrap/>
            <w:vAlign w:val="center"/>
          </w:tcPr>
          <w:p w14:paraId="211AF052">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6480" w:type="dxa"/>
            <w:tcBorders>
              <w:top w:val="single" w:color="auto" w:sz="4" w:space="0"/>
              <w:left w:val="single" w:color="000000" w:sz="4" w:space="0"/>
              <w:right w:val="single" w:color="000000" w:sz="4" w:space="0"/>
            </w:tcBorders>
            <w:noWrap w:val="0"/>
            <w:vAlign w:val="center"/>
          </w:tcPr>
          <w:p w14:paraId="512F7B8F">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15、保修：整机提供两年质保及免费上门服务。</w:t>
            </w:r>
          </w:p>
        </w:tc>
        <w:tc>
          <w:tcPr>
            <w:tcW w:w="731" w:type="dxa"/>
            <w:vMerge w:val="continue"/>
            <w:tcBorders>
              <w:left w:val="single" w:color="000000" w:sz="4" w:space="0"/>
              <w:right w:val="single" w:color="000000" w:sz="4" w:space="0"/>
            </w:tcBorders>
            <w:noWrap/>
            <w:vAlign w:val="center"/>
          </w:tcPr>
          <w:p w14:paraId="0FBC73D9">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774" w:type="dxa"/>
            <w:vMerge w:val="continue"/>
            <w:tcBorders>
              <w:left w:val="single" w:color="000000" w:sz="4" w:space="0"/>
              <w:right w:val="single" w:color="000000" w:sz="4" w:space="0"/>
            </w:tcBorders>
            <w:noWrap/>
            <w:vAlign w:val="center"/>
          </w:tcPr>
          <w:p w14:paraId="5CAC1210">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1357" w:type="dxa"/>
            <w:tcBorders>
              <w:top w:val="single" w:color="auto" w:sz="4" w:space="0"/>
              <w:left w:val="single" w:color="000000" w:sz="4" w:space="0"/>
              <w:bottom w:val="single" w:color="auto" w:sz="4" w:space="0"/>
              <w:right w:val="single" w:color="auto" w:sz="4" w:space="0"/>
            </w:tcBorders>
            <w:noWrap w:val="0"/>
            <w:vAlign w:val="center"/>
          </w:tcPr>
          <w:p w14:paraId="78F54C8A">
            <w:pPr>
              <w:rPr>
                <w:rFonts w:hint="eastAsia" w:ascii="宋体" w:hAnsi="宋体" w:eastAsia="宋体" w:cs="宋体"/>
                <w:color w:val="auto"/>
                <w:sz w:val="22"/>
                <w:szCs w:val="22"/>
                <w:highlight w:val="none"/>
              </w:rPr>
            </w:pPr>
          </w:p>
        </w:tc>
        <w:tc>
          <w:tcPr>
            <w:tcW w:w="1241" w:type="dxa"/>
            <w:vMerge w:val="continue"/>
            <w:tcBorders>
              <w:left w:val="single" w:color="auto" w:sz="4" w:space="0"/>
              <w:right w:val="single" w:color="auto" w:sz="4" w:space="0"/>
            </w:tcBorders>
            <w:noWrap w:val="0"/>
            <w:vAlign w:val="center"/>
          </w:tcPr>
          <w:p w14:paraId="1AC7C58F">
            <w:pPr>
              <w:rPr>
                <w:rFonts w:hint="eastAsia" w:ascii="宋体" w:hAnsi="宋体" w:eastAsia="宋体" w:cs="宋体"/>
                <w:color w:val="auto"/>
                <w:sz w:val="22"/>
                <w:szCs w:val="22"/>
                <w:highlight w:val="none"/>
              </w:rPr>
            </w:pPr>
          </w:p>
        </w:tc>
        <w:tc>
          <w:tcPr>
            <w:tcW w:w="1763" w:type="dxa"/>
            <w:tcBorders>
              <w:top w:val="single" w:color="auto" w:sz="4" w:space="0"/>
              <w:left w:val="single" w:color="auto" w:sz="4" w:space="0"/>
              <w:bottom w:val="single" w:color="auto" w:sz="4" w:space="0"/>
              <w:right w:val="single" w:color="auto" w:sz="4" w:space="0"/>
            </w:tcBorders>
            <w:noWrap w:val="0"/>
            <w:vAlign w:val="center"/>
          </w:tcPr>
          <w:p w14:paraId="503FF6C3">
            <w:pPr>
              <w:rPr>
                <w:rFonts w:hint="eastAsia" w:ascii="宋体" w:hAnsi="宋体" w:eastAsia="宋体" w:cs="宋体"/>
                <w:color w:val="auto"/>
                <w:sz w:val="22"/>
                <w:szCs w:val="22"/>
                <w:highlight w:val="none"/>
              </w:rPr>
            </w:pPr>
          </w:p>
        </w:tc>
      </w:tr>
      <w:tr w14:paraId="1EFB90E4">
        <w:tblPrEx>
          <w:tblCellMar>
            <w:top w:w="0" w:type="dxa"/>
            <w:left w:w="108" w:type="dxa"/>
            <w:bottom w:w="0" w:type="dxa"/>
            <w:right w:w="108" w:type="dxa"/>
          </w:tblCellMar>
        </w:tblPrEx>
        <w:trPr>
          <w:trHeight w:val="273" w:hRule="atLeast"/>
          <w:jc w:val="center"/>
        </w:trPr>
        <w:tc>
          <w:tcPr>
            <w:tcW w:w="647" w:type="dxa"/>
            <w:tcBorders>
              <w:top w:val="single" w:color="000000" w:sz="4" w:space="0"/>
              <w:left w:val="single" w:color="000000" w:sz="4" w:space="0"/>
              <w:bottom w:val="single" w:color="000000" w:sz="4" w:space="0"/>
              <w:right w:val="single" w:color="000000" w:sz="4" w:space="0"/>
            </w:tcBorders>
            <w:noWrap/>
            <w:vAlign w:val="center"/>
          </w:tcPr>
          <w:p w14:paraId="59ABDD02">
            <w:pPr>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18"/>
                <w:szCs w:val="18"/>
                <w:highlight w:val="none"/>
                <w:lang w:val="en-US" w:eastAsia="zh-CN"/>
              </w:rPr>
              <w:t>2</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1100BB6C">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正版同传还原软件</w:t>
            </w:r>
          </w:p>
        </w:tc>
        <w:tc>
          <w:tcPr>
            <w:tcW w:w="6480" w:type="dxa"/>
            <w:tcBorders>
              <w:top w:val="single" w:color="000000" w:sz="4" w:space="0"/>
              <w:left w:val="single" w:color="000000" w:sz="4" w:space="0"/>
              <w:bottom w:val="single" w:color="000000" w:sz="4" w:space="0"/>
              <w:right w:val="single" w:color="000000" w:sz="4" w:space="0"/>
            </w:tcBorders>
            <w:noWrap w:val="0"/>
            <w:vAlign w:val="center"/>
          </w:tcPr>
          <w:p w14:paraId="59015A66">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网络同传 出厂预装硬盘版网络同传软件。</w:t>
            </w:r>
          </w:p>
          <w:p w14:paraId="7E4FD9C5">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1、</w:t>
            </w:r>
            <w:r>
              <w:rPr>
                <w:rFonts w:hint="eastAsia" w:ascii="宋体" w:hAnsi="宋体" w:eastAsia="宋体" w:cs="宋体"/>
                <w:color w:val="auto"/>
                <w:sz w:val="18"/>
                <w:szCs w:val="18"/>
                <w:highlight w:val="none"/>
                <w:lang w:val="en-US" w:eastAsia="zh-CN"/>
              </w:rPr>
              <w:t>保护/恢复数据：可对单分区、多分区经行快速保护和快速恢复数据。并且隐藏启动界面，隐藏操作员界面，隐藏恢复进度条。</w:t>
            </w:r>
          </w:p>
          <w:p w14:paraId="2CBB2047">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2、</w:t>
            </w:r>
            <w:r>
              <w:rPr>
                <w:rFonts w:hint="eastAsia" w:ascii="宋体" w:hAnsi="宋体" w:eastAsia="宋体" w:cs="宋体"/>
                <w:color w:val="auto"/>
                <w:sz w:val="18"/>
                <w:szCs w:val="18"/>
                <w:highlight w:val="none"/>
                <w:lang w:val="en-US" w:eastAsia="zh-CN"/>
              </w:rPr>
              <w:t>智能同传：安装部署方便，支持传统BIOS主板及UEFI主板；支持XP、Windows7 32/64、Windows8 32/64、Windows10 32/64、Windows11等操作系统；</w:t>
            </w:r>
          </w:p>
          <w:p w14:paraId="7766D44A">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3、</w:t>
            </w:r>
            <w:r>
              <w:rPr>
                <w:rFonts w:hint="eastAsia" w:ascii="宋体" w:hAnsi="宋体" w:eastAsia="宋体" w:cs="宋体"/>
                <w:color w:val="auto"/>
                <w:sz w:val="18"/>
                <w:szCs w:val="18"/>
                <w:highlight w:val="none"/>
                <w:lang w:val="en-US" w:eastAsia="zh-CN"/>
              </w:rPr>
              <w:t>网络对拷：支持PXE网卡引导，需同传的机子不管有没有系统都可进行快速部署。即使接收端硬盘状态不一，也能“增量对拷”，并智能化计算后传送最少数据量。</w:t>
            </w:r>
          </w:p>
          <w:p w14:paraId="4D7C104B">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4、</w:t>
            </w:r>
            <w:r>
              <w:rPr>
                <w:rFonts w:hint="eastAsia" w:ascii="宋体" w:hAnsi="宋体" w:eastAsia="宋体" w:cs="宋体"/>
                <w:color w:val="auto"/>
                <w:sz w:val="18"/>
                <w:szCs w:val="18"/>
                <w:highlight w:val="none"/>
                <w:lang w:val="en-US" w:eastAsia="zh-CN"/>
              </w:rPr>
              <w:t>本地硬盘复制:同时支持本地1对3块硬盘复制，可以一对三进行硬盘对拷完，方便少数故障机快速恢复正常状态。系统克隆：在同一块硬盘上可以同时复制多个相同的操作系统到其他分区。可以在一块硬盘上克隆多个系统，快速部署，满足不同场景下的教学环境需求。</w:t>
            </w:r>
          </w:p>
          <w:p w14:paraId="5CACA61F">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5、</w:t>
            </w:r>
            <w:r>
              <w:rPr>
                <w:rFonts w:hint="eastAsia" w:ascii="宋体" w:hAnsi="宋体" w:eastAsia="宋体" w:cs="宋体"/>
                <w:color w:val="auto"/>
                <w:sz w:val="18"/>
                <w:szCs w:val="18"/>
                <w:highlight w:val="none"/>
                <w:lang w:val="en-US" w:eastAsia="zh-CN"/>
              </w:rPr>
              <w:t>远程锁定：管理端可远程锁定客户端的鼠标、键盘或屏幕。</w:t>
            </w:r>
            <w:r>
              <w:rPr>
                <w:rFonts w:hint="eastAsia" w:ascii="宋体" w:hAnsi="宋体" w:eastAsia="宋体" w:cs="宋体"/>
                <w:color w:val="auto"/>
                <w:sz w:val="18"/>
                <w:szCs w:val="18"/>
                <w:highlight w:val="none"/>
                <w:lang w:val="en-US" w:eastAsia="zh-CN"/>
              </w:rPr>
              <w:tab/>
            </w:r>
          </w:p>
          <w:p w14:paraId="34D55130">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6、</w:t>
            </w:r>
            <w:r>
              <w:rPr>
                <w:rFonts w:hint="eastAsia" w:ascii="宋体" w:hAnsi="宋体" w:eastAsia="宋体" w:cs="宋体"/>
                <w:color w:val="auto"/>
                <w:sz w:val="18"/>
                <w:szCs w:val="18"/>
                <w:highlight w:val="none"/>
                <w:lang w:val="en-US" w:eastAsia="zh-CN"/>
              </w:rPr>
              <w:t>排程设置：设定时间后自动开机进行网络同传，完成后所有计算机自动关机。</w:t>
            </w:r>
          </w:p>
          <w:p w14:paraId="19B4E6D4">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7、</w:t>
            </w:r>
            <w:r>
              <w:rPr>
                <w:rFonts w:hint="eastAsia" w:ascii="宋体" w:hAnsi="宋体" w:eastAsia="宋体" w:cs="宋体"/>
                <w:color w:val="auto"/>
                <w:sz w:val="18"/>
                <w:szCs w:val="18"/>
                <w:highlight w:val="none"/>
                <w:lang w:val="en-US" w:eastAsia="zh-CN"/>
              </w:rPr>
              <w:t>资产管理:管理端可对客户端的软硬件信息进行资产盘点，并导出Doc或Excel文件以便保存。</w:t>
            </w:r>
          </w:p>
          <w:p w14:paraId="4E361C5A">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8、</w:t>
            </w:r>
            <w:r>
              <w:rPr>
                <w:rFonts w:hint="eastAsia" w:ascii="宋体" w:hAnsi="宋体" w:eastAsia="宋体" w:cs="宋体"/>
                <w:color w:val="auto"/>
                <w:sz w:val="18"/>
                <w:szCs w:val="18"/>
                <w:highlight w:val="none"/>
                <w:lang w:val="en-US" w:eastAsia="zh-CN"/>
              </w:rPr>
              <w:t>产品升级：管理端可下发升级包在几分钟内就升级所有客户端程序。</w:t>
            </w:r>
          </w:p>
          <w:p w14:paraId="252DA6C5">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9、</w:t>
            </w:r>
            <w:r>
              <w:rPr>
                <w:rFonts w:hint="eastAsia" w:ascii="宋体" w:hAnsi="宋体" w:eastAsia="宋体" w:cs="宋体"/>
                <w:color w:val="auto"/>
                <w:sz w:val="18"/>
                <w:szCs w:val="18"/>
                <w:highlight w:val="none"/>
                <w:lang w:val="en-US" w:eastAsia="zh-CN"/>
              </w:rPr>
              <w:t>电子教室：软件含电子教室功能，实现课堂教学老师对学生广播教学、学生演示、网页广播、电子点名、提交作业等多项教学互动功能。</w:t>
            </w:r>
          </w:p>
          <w:p w14:paraId="698956C1">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10、</w:t>
            </w:r>
            <w:r>
              <w:rPr>
                <w:rFonts w:hint="eastAsia" w:ascii="宋体" w:hAnsi="宋体" w:eastAsia="宋体" w:cs="宋体"/>
                <w:color w:val="auto"/>
                <w:sz w:val="18"/>
                <w:szCs w:val="18"/>
                <w:highlight w:val="none"/>
                <w:lang w:val="en-US" w:eastAsia="zh-CN"/>
              </w:rPr>
              <w:t>客户端搜索：管理端可以抓取该局域网内的所有客户端，即便该客户端已登入其他管理端。便于一次性管理所有电脑教室。将系统被使用的情况都记录在日志文件内，以供需要时查询。</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604D4191">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3A217A85">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套（60点位）</w:t>
            </w:r>
          </w:p>
        </w:tc>
        <w:tc>
          <w:tcPr>
            <w:tcW w:w="1357" w:type="dxa"/>
            <w:tcBorders>
              <w:top w:val="single" w:color="auto" w:sz="4" w:space="0"/>
              <w:left w:val="single" w:color="000000" w:sz="4" w:space="0"/>
              <w:bottom w:val="single" w:color="000000" w:sz="4" w:space="0"/>
              <w:right w:val="single" w:color="auto" w:sz="4" w:space="0"/>
            </w:tcBorders>
            <w:noWrap w:val="0"/>
            <w:vAlign w:val="center"/>
          </w:tcPr>
          <w:p w14:paraId="38916670">
            <w:pPr>
              <w:rPr>
                <w:rFonts w:hint="eastAsia" w:ascii="宋体" w:hAnsi="宋体" w:eastAsia="宋体" w:cs="宋体"/>
                <w:color w:val="auto"/>
                <w:sz w:val="22"/>
                <w:szCs w:val="22"/>
                <w:highlight w:val="none"/>
                <w:lang w:val="en-US" w:eastAsia="zh-CN"/>
              </w:rPr>
            </w:pPr>
          </w:p>
        </w:tc>
        <w:tc>
          <w:tcPr>
            <w:tcW w:w="1241" w:type="dxa"/>
            <w:tcBorders>
              <w:top w:val="single" w:color="000000" w:sz="4" w:space="0"/>
              <w:left w:val="single" w:color="auto" w:sz="4" w:space="0"/>
              <w:bottom w:val="single" w:color="000000" w:sz="4" w:space="0"/>
              <w:right w:val="single" w:color="auto" w:sz="4" w:space="0"/>
            </w:tcBorders>
            <w:noWrap w:val="0"/>
            <w:vAlign w:val="center"/>
          </w:tcPr>
          <w:p w14:paraId="39F05B9B">
            <w:pPr>
              <w:rPr>
                <w:rFonts w:hint="eastAsia" w:ascii="宋体" w:hAnsi="宋体" w:eastAsia="宋体" w:cs="宋体"/>
                <w:color w:val="auto"/>
                <w:sz w:val="22"/>
                <w:szCs w:val="22"/>
                <w:highlight w:val="none"/>
                <w:lang w:val="en-US" w:eastAsia="zh-CN"/>
              </w:rPr>
            </w:pPr>
          </w:p>
        </w:tc>
        <w:tc>
          <w:tcPr>
            <w:tcW w:w="1763" w:type="dxa"/>
            <w:tcBorders>
              <w:top w:val="single" w:color="auto" w:sz="4" w:space="0"/>
              <w:left w:val="single" w:color="auto" w:sz="4" w:space="0"/>
              <w:bottom w:val="single" w:color="000000" w:sz="4" w:space="0"/>
              <w:right w:val="single" w:color="000000" w:sz="4" w:space="0"/>
            </w:tcBorders>
            <w:noWrap w:val="0"/>
            <w:vAlign w:val="center"/>
          </w:tcPr>
          <w:p w14:paraId="1BE6ED1D">
            <w:pPr>
              <w:rPr>
                <w:rFonts w:hint="eastAsia" w:ascii="宋体" w:hAnsi="宋体" w:eastAsia="宋体" w:cs="宋体"/>
                <w:color w:val="auto"/>
                <w:sz w:val="22"/>
                <w:szCs w:val="22"/>
                <w:highlight w:val="none"/>
                <w:lang w:val="en-US" w:eastAsia="zh-CN"/>
              </w:rPr>
            </w:pPr>
          </w:p>
        </w:tc>
      </w:tr>
      <w:tr w14:paraId="6985259D">
        <w:tblPrEx>
          <w:tblCellMar>
            <w:top w:w="0" w:type="dxa"/>
            <w:left w:w="108" w:type="dxa"/>
            <w:bottom w:w="0" w:type="dxa"/>
            <w:right w:w="108" w:type="dxa"/>
          </w:tblCellMar>
        </w:tblPrEx>
        <w:trPr>
          <w:trHeight w:val="499" w:hRule="atLeast"/>
          <w:jc w:val="center"/>
        </w:trPr>
        <w:tc>
          <w:tcPr>
            <w:tcW w:w="647" w:type="dxa"/>
            <w:tcBorders>
              <w:top w:val="single" w:color="000000" w:sz="4" w:space="0"/>
              <w:left w:val="single" w:color="000000" w:sz="4" w:space="0"/>
              <w:bottom w:val="single" w:color="000000" w:sz="4" w:space="0"/>
              <w:right w:val="single" w:color="000000" w:sz="4" w:space="0"/>
            </w:tcBorders>
            <w:noWrap/>
            <w:vAlign w:val="center"/>
          </w:tcPr>
          <w:p w14:paraId="293BB541">
            <w:pPr>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18"/>
                <w:szCs w:val="18"/>
                <w:highlight w:val="none"/>
                <w:lang w:val="en-US" w:eastAsia="zh-CN"/>
              </w:rPr>
              <w:t>3</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06B2B8EA">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电子教室</w:t>
            </w:r>
          </w:p>
        </w:tc>
        <w:tc>
          <w:tcPr>
            <w:tcW w:w="6480" w:type="dxa"/>
            <w:tcBorders>
              <w:top w:val="single" w:color="000000" w:sz="4" w:space="0"/>
              <w:left w:val="single" w:color="000000" w:sz="4" w:space="0"/>
              <w:bottom w:val="single" w:color="000000" w:sz="4" w:space="0"/>
              <w:right w:val="single" w:color="000000" w:sz="4" w:space="0"/>
            </w:tcBorders>
            <w:noWrap w:val="0"/>
            <w:vAlign w:val="center"/>
          </w:tcPr>
          <w:p w14:paraId="2535B9E0">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1、屏幕广播：将教师机屏幕和教师讲话实时广播给单一、部分或全体学生，可选择全屏或窗口方式。</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2、共享白板：教师可共享白板、桌面或图片与选定的学生共同完成相同的学习任务或绘画作品，提供学生也可以单独完成。</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3、网络影院：实现教师机播放的视频同步广播到学生机。</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4、屏幕录制：教师机可以将本地的操作和讲解过程录制为mp4录像文件，可以用 Windows 自带的 Media Player 直接播放。</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5、学生端屏幕录制、回放：学生端接收教师端广播的时候可以自动录制教师机广播教学的过程，课后可以重复观看学习。</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文件分发：允许教师将教师机不同盘符中的目录或文件一起发送至生机的某目录下。目录不存在自动新建此目录；盘符不存在或路径非法不允许分发；文件已存在选择自动覆盖或保留原始文件。</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6、文件提交：学生把做好的作业直接提交到教师机，方便教师批改作业要收取的麻烦。</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7、屏幕监视：教师机可以监视单一、部分、全体学生机的屏幕，教师机每屏可监视多个学生屏幕（方便监视操作及查看）。可以控制教师机监控的同屏幕各窗口间、屏幕与屏幕间的切换速度。可手动或自动循环监视。</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8、网页限制：设定学生访问网站的黑名单或白名单，对学生可以访问的Internet站点进行管理。支持多浏览器限制，如QQ、IE、谷歌、360、遨游等浏览器。</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9、程序限制：通过各种策略的应用，可防止学生在教学过程中打游戏，或使用QQ，MSN等聊天工具，支持限制U盘，网络映射盘，硬盘虚拟盘，虚拟光盘，内存虚拟盘里的程序。</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10、自动锁屏：独有的断线保护自动锁屏技术，通过网卡的是否激活来锁定屏幕，避免学生拔掉网线违反纪律。</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11、防杀进程：为安全起见，学生端程序运行后，防止学生通过任务管理器结束学生端程序进程来逃脱教师控制。</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请求帮助：学生端遇到问题可请求帮助，教师端可远程遥控帮助学生解决问题。</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6BA9386C">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4FD5CB8D">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套</w:t>
            </w:r>
          </w:p>
        </w:tc>
        <w:tc>
          <w:tcPr>
            <w:tcW w:w="1357" w:type="dxa"/>
            <w:tcBorders>
              <w:top w:val="single" w:color="000000" w:sz="4" w:space="0"/>
              <w:left w:val="single" w:color="000000" w:sz="4" w:space="0"/>
              <w:bottom w:val="single" w:color="000000" w:sz="4" w:space="0"/>
              <w:right w:val="single" w:color="auto" w:sz="4" w:space="0"/>
            </w:tcBorders>
            <w:noWrap w:val="0"/>
            <w:vAlign w:val="center"/>
          </w:tcPr>
          <w:p w14:paraId="3C9374DF">
            <w:pPr>
              <w:rPr>
                <w:rFonts w:hint="eastAsia" w:ascii="宋体" w:hAnsi="宋体" w:eastAsia="宋体" w:cs="宋体"/>
                <w:color w:val="auto"/>
                <w:sz w:val="22"/>
                <w:szCs w:val="22"/>
                <w:highlight w:val="none"/>
              </w:rPr>
            </w:pPr>
          </w:p>
        </w:tc>
        <w:tc>
          <w:tcPr>
            <w:tcW w:w="1241" w:type="dxa"/>
            <w:tcBorders>
              <w:top w:val="single" w:color="000000" w:sz="4" w:space="0"/>
              <w:left w:val="single" w:color="auto" w:sz="4" w:space="0"/>
              <w:bottom w:val="single" w:color="000000" w:sz="4" w:space="0"/>
              <w:right w:val="single" w:color="auto" w:sz="4" w:space="0"/>
            </w:tcBorders>
            <w:noWrap w:val="0"/>
            <w:vAlign w:val="center"/>
          </w:tcPr>
          <w:p w14:paraId="27E34A6B">
            <w:pPr>
              <w:rPr>
                <w:rFonts w:hint="eastAsia" w:ascii="宋体" w:hAnsi="宋体" w:eastAsia="宋体" w:cs="宋体"/>
                <w:color w:val="auto"/>
                <w:sz w:val="22"/>
                <w:szCs w:val="22"/>
                <w:highlight w:val="none"/>
              </w:rPr>
            </w:pPr>
          </w:p>
        </w:tc>
        <w:tc>
          <w:tcPr>
            <w:tcW w:w="1763" w:type="dxa"/>
            <w:tcBorders>
              <w:top w:val="single" w:color="000000" w:sz="4" w:space="0"/>
              <w:left w:val="single" w:color="auto" w:sz="4" w:space="0"/>
              <w:bottom w:val="single" w:color="000000" w:sz="4" w:space="0"/>
              <w:right w:val="single" w:color="000000" w:sz="4" w:space="0"/>
            </w:tcBorders>
            <w:noWrap w:val="0"/>
            <w:vAlign w:val="center"/>
          </w:tcPr>
          <w:p w14:paraId="4854DB3A">
            <w:pPr>
              <w:rPr>
                <w:rFonts w:hint="eastAsia" w:ascii="宋体" w:hAnsi="宋体" w:eastAsia="宋体" w:cs="宋体"/>
                <w:color w:val="auto"/>
                <w:sz w:val="22"/>
                <w:szCs w:val="22"/>
                <w:highlight w:val="none"/>
              </w:rPr>
            </w:pPr>
          </w:p>
        </w:tc>
      </w:tr>
      <w:tr w14:paraId="68E97BD2">
        <w:tblPrEx>
          <w:tblCellMar>
            <w:top w:w="0" w:type="dxa"/>
            <w:left w:w="108" w:type="dxa"/>
            <w:bottom w:w="0" w:type="dxa"/>
            <w:right w:w="108" w:type="dxa"/>
          </w:tblCellMar>
        </w:tblPrEx>
        <w:trPr>
          <w:trHeight w:val="499" w:hRule="atLeast"/>
          <w:jc w:val="center"/>
        </w:trPr>
        <w:tc>
          <w:tcPr>
            <w:tcW w:w="647" w:type="dxa"/>
            <w:tcBorders>
              <w:top w:val="single" w:color="000000" w:sz="4" w:space="0"/>
              <w:left w:val="single" w:color="000000" w:sz="4" w:space="0"/>
              <w:bottom w:val="single" w:color="000000" w:sz="4" w:space="0"/>
              <w:right w:val="single" w:color="000000" w:sz="4" w:space="0"/>
            </w:tcBorders>
            <w:noWrap/>
            <w:vAlign w:val="center"/>
          </w:tcPr>
          <w:p w14:paraId="2C3B4DF8">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51C7CA06">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智能交互平板</w:t>
            </w:r>
          </w:p>
        </w:tc>
        <w:tc>
          <w:tcPr>
            <w:tcW w:w="6480" w:type="dxa"/>
            <w:tcBorders>
              <w:top w:val="single" w:color="000000" w:sz="4" w:space="0"/>
              <w:left w:val="single" w:color="000000" w:sz="4" w:space="0"/>
              <w:bottom w:val="single" w:color="000000" w:sz="4" w:space="0"/>
              <w:right w:val="single" w:color="000000" w:sz="4" w:space="0"/>
            </w:tcBorders>
            <w:noWrap w:val="0"/>
            <w:vAlign w:val="center"/>
          </w:tcPr>
          <w:p w14:paraId="01A3579C">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1.智能交互平板显示尺寸</w:t>
            </w:r>
            <w:r>
              <w:rPr>
                <w:rFonts w:hint="eastAsia" w:ascii="宋体" w:hAnsi="宋体" w:eastAsia="宋体" w:cs="宋体"/>
                <w:b w:val="0"/>
                <w:bCs w:val="0"/>
                <w:color w:val="auto"/>
                <w:sz w:val="18"/>
                <w:szCs w:val="18"/>
                <w:highlight w:val="none"/>
                <w:lang w:val="en-US" w:eastAsia="zh-CN"/>
              </w:rPr>
              <w:t>≥</w:t>
            </w:r>
            <w:r>
              <w:rPr>
                <w:rFonts w:hint="eastAsia" w:ascii="宋体" w:hAnsi="宋体" w:eastAsia="宋体" w:cs="宋体"/>
                <w:color w:val="auto"/>
                <w:sz w:val="18"/>
                <w:szCs w:val="18"/>
                <w:highlight w:val="none"/>
                <w:lang w:val="en-US" w:eastAsia="zh-CN"/>
              </w:rPr>
              <w:t>86英寸，分辨率</w:t>
            </w:r>
            <w:r>
              <w:rPr>
                <w:rFonts w:hint="eastAsia" w:ascii="宋体" w:hAnsi="宋体" w:eastAsia="宋体" w:cs="宋体"/>
                <w:b w:val="0"/>
                <w:bCs w:val="0"/>
                <w:color w:val="auto"/>
                <w:sz w:val="18"/>
                <w:szCs w:val="18"/>
                <w:highlight w:val="none"/>
                <w:lang w:val="en-US" w:eastAsia="zh-CN"/>
              </w:rPr>
              <w:t>≥</w:t>
            </w:r>
            <w:r>
              <w:rPr>
                <w:rFonts w:hint="eastAsia" w:ascii="宋体" w:hAnsi="宋体" w:eastAsia="宋体" w:cs="宋体"/>
                <w:color w:val="auto"/>
                <w:sz w:val="18"/>
                <w:szCs w:val="18"/>
                <w:highlight w:val="none"/>
                <w:lang w:val="en-US" w:eastAsia="zh-CN"/>
              </w:rPr>
              <w:t>3840*2160，采用红外触控技术，在双系统下均支持20点同时触控及书写，智能交互平板显示部分需采用高色彩覆盖技术，NTSC色域标准下覆盖率不低于95%。</w:t>
            </w:r>
          </w:p>
          <w:p w14:paraId="4EBAD7A6">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2.设备采用物理减滤蓝光设计，无需其他的多余按键操作即可实现防蓝光，有效保护用眼健康，通过扫描设备自带的二维码可获取检测机构的认证信息。</w:t>
            </w:r>
          </w:p>
          <w:p w14:paraId="351EBC0C">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3.为方便外接信号源的输入以及满足数据的高速传输需求，设备至少1路前置HDMI接口（非转接）、2路前置USB3.0接口1路Type-C接口，同时为方便用户外接拓展设备，整机标配1路VGA输入接口。</w:t>
            </w:r>
          </w:p>
          <w:p w14:paraId="497918E4">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 xml:space="preserve">4.为方便用户进行各类设置和操作，设备前置按键不少于7个，可快速进行音量加减、窗口关闭、触控开关等功能的设置和调用，且均具备按键复用功能。 </w:t>
            </w:r>
          </w:p>
          <w:p w14:paraId="143CB1A2">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5.内置电脑</w:t>
            </w:r>
          </w:p>
          <w:p w14:paraId="0AC3D6E0">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⑴采用80pin Intel通用标准接口,即插即用，易于维护；</w:t>
            </w:r>
          </w:p>
          <w:p w14:paraId="37F001C9">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⑵CPU采用Intel第11代及以上平台处理器酷睿I5处理器；</w:t>
            </w:r>
          </w:p>
          <w:p w14:paraId="7D7A558B">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 xml:space="preserve">⑶内存：不低于8G DDR4；硬盘：不低于256G SSD固态硬盘； </w:t>
            </w:r>
          </w:p>
          <w:p w14:paraId="6500D56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⑷接口：整机非外扩展具备5个USB接口；具有独立非外扩展的视频输出接口：1路HDMI等。</w:t>
            </w:r>
          </w:p>
          <w:p w14:paraId="06606321">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6.保修：整机提供3年质保及免费上门服务。</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5DADAB88">
            <w:pPr>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18"/>
                <w:szCs w:val="18"/>
                <w:highlight w:val="none"/>
                <w:lang w:val="en-US" w:eastAsia="zh-CN"/>
              </w:rPr>
              <w:t>1</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18267759">
            <w:pPr>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18"/>
                <w:szCs w:val="18"/>
                <w:highlight w:val="none"/>
                <w:lang w:val="en-US" w:eastAsia="zh-CN"/>
              </w:rPr>
              <w:t>台</w:t>
            </w:r>
          </w:p>
        </w:tc>
        <w:tc>
          <w:tcPr>
            <w:tcW w:w="1357" w:type="dxa"/>
            <w:tcBorders>
              <w:top w:val="single" w:color="000000" w:sz="4" w:space="0"/>
              <w:left w:val="single" w:color="000000" w:sz="4" w:space="0"/>
              <w:bottom w:val="single" w:color="000000" w:sz="4" w:space="0"/>
              <w:right w:val="single" w:color="auto" w:sz="4" w:space="0"/>
            </w:tcBorders>
            <w:noWrap/>
            <w:vAlign w:val="center"/>
          </w:tcPr>
          <w:p w14:paraId="27137941">
            <w:pPr>
              <w:rPr>
                <w:rFonts w:hint="eastAsia" w:ascii="宋体" w:hAnsi="宋体" w:eastAsia="宋体" w:cs="宋体"/>
                <w:color w:val="auto"/>
                <w:sz w:val="22"/>
                <w:szCs w:val="22"/>
                <w:highlight w:val="none"/>
              </w:rPr>
            </w:pPr>
          </w:p>
        </w:tc>
        <w:tc>
          <w:tcPr>
            <w:tcW w:w="1241" w:type="dxa"/>
            <w:tcBorders>
              <w:top w:val="single" w:color="000000" w:sz="4" w:space="0"/>
              <w:left w:val="single" w:color="auto" w:sz="4" w:space="0"/>
              <w:bottom w:val="single" w:color="auto" w:sz="4" w:space="0"/>
              <w:right w:val="single" w:color="auto" w:sz="4" w:space="0"/>
            </w:tcBorders>
            <w:noWrap/>
            <w:vAlign w:val="center"/>
          </w:tcPr>
          <w:p w14:paraId="48B6A9FD">
            <w:pPr>
              <w:rPr>
                <w:rFonts w:hint="eastAsia" w:ascii="宋体" w:hAnsi="宋体" w:eastAsia="宋体" w:cs="宋体"/>
                <w:color w:val="auto"/>
                <w:sz w:val="22"/>
                <w:szCs w:val="22"/>
                <w:highlight w:val="none"/>
              </w:rPr>
            </w:pPr>
          </w:p>
        </w:tc>
        <w:tc>
          <w:tcPr>
            <w:tcW w:w="1763" w:type="dxa"/>
            <w:tcBorders>
              <w:top w:val="single" w:color="000000" w:sz="4" w:space="0"/>
              <w:left w:val="single" w:color="auto" w:sz="4" w:space="0"/>
              <w:bottom w:val="single" w:color="auto" w:sz="4" w:space="0"/>
              <w:right w:val="single" w:color="000000" w:sz="4" w:space="0"/>
            </w:tcBorders>
            <w:noWrap/>
            <w:vAlign w:val="center"/>
          </w:tcPr>
          <w:p w14:paraId="0C3E9EA7">
            <w:pPr>
              <w:rPr>
                <w:rFonts w:hint="eastAsia" w:ascii="宋体" w:hAnsi="宋体" w:eastAsia="宋体" w:cs="宋体"/>
                <w:color w:val="auto"/>
                <w:sz w:val="22"/>
                <w:szCs w:val="22"/>
                <w:highlight w:val="none"/>
              </w:rPr>
            </w:pPr>
          </w:p>
        </w:tc>
      </w:tr>
      <w:tr w14:paraId="748B0EB8">
        <w:tblPrEx>
          <w:tblCellMar>
            <w:top w:w="0" w:type="dxa"/>
            <w:left w:w="108" w:type="dxa"/>
            <w:bottom w:w="0" w:type="dxa"/>
            <w:right w:w="108" w:type="dxa"/>
          </w:tblCellMar>
        </w:tblPrEx>
        <w:trPr>
          <w:trHeight w:val="249" w:hRule="atLeast"/>
          <w:jc w:val="center"/>
        </w:trPr>
        <w:tc>
          <w:tcPr>
            <w:tcW w:w="647" w:type="dxa"/>
            <w:tcBorders>
              <w:top w:val="single" w:color="000000" w:sz="4" w:space="0"/>
              <w:left w:val="single" w:color="000000" w:sz="4" w:space="0"/>
              <w:bottom w:val="single" w:color="000000" w:sz="4" w:space="0"/>
              <w:right w:val="single" w:color="000000" w:sz="4" w:space="0"/>
            </w:tcBorders>
            <w:noWrap/>
            <w:vAlign w:val="center"/>
          </w:tcPr>
          <w:p w14:paraId="68FD2C14">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5</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107B71D1">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电脑桌面开关</w:t>
            </w:r>
          </w:p>
        </w:tc>
        <w:tc>
          <w:tcPr>
            <w:tcW w:w="6480" w:type="dxa"/>
            <w:tcBorders>
              <w:top w:val="single" w:color="000000" w:sz="4" w:space="0"/>
              <w:left w:val="single" w:color="000000" w:sz="4" w:space="0"/>
              <w:bottom w:val="single" w:color="000000" w:sz="4" w:space="0"/>
              <w:right w:val="single" w:color="000000" w:sz="4" w:space="0"/>
            </w:tcBorders>
            <w:noWrap w:val="0"/>
            <w:vAlign w:val="center"/>
          </w:tcPr>
          <w:p w14:paraId="648ECBD8">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5" w:leftChars="0" w:hanging="425"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1.</w:t>
            </w:r>
            <w:r>
              <w:rPr>
                <w:rFonts w:hint="eastAsia" w:ascii="宋体" w:hAnsi="宋体" w:eastAsia="宋体" w:cs="宋体"/>
                <w:color w:val="auto"/>
                <w:sz w:val="18"/>
                <w:szCs w:val="18"/>
                <w:highlight w:val="none"/>
                <w:lang w:val="en-US" w:eastAsia="zh-CN"/>
              </w:rPr>
              <w:t>电源开关：必备功能，用于开启或关闭机箱电源。</w:t>
            </w:r>
          </w:p>
          <w:p w14:paraId="6F8698F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5" w:leftChars="0" w:hanging="425"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2.</w:t>
            </w:r>
            <w:r>
              <w:rPr>
                <w:rFonts w:hint="eastAsia" w:ascii="宋体" w:hAnsi="宋体" w:eastAsia="宋体" w:cs="宋体"/>
                <w:color w:val="auto"/>
                <w:sz w:val="18"/>
                <w:szCs w:val="18"/>
                <w:highlight w:val="none"/>
                <w:lang w:val="en-US" w:eastAsia="zh-CN"/>
              </w:rPr>
              <w:t>复位开关：大部分机箱具备，用于在系统出现故障时重启电脑。</w:t>
            </w:r>
          </w:p>
          <w:p w14:paraId="67EC88A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5" w:leftChars="0" w:hanging="425"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3.</w:t>
            </w:r>
            <w:r>
              <w:rPr>
                <w:rFonts w:hint="eastAsia" w:ascii="宋体" w:hAnsi="宋体" w:eastAsia="宋体" w:cs="宋体"/>
                <w:color w:val="auto"/>
                <w:sz w:val="18"/>
                <w:szCs w:val="18"/>
                <w:highlight w:val="none"/>
                <w:lang w:val="en-US" w:eastAsia="zh-CN"/>
              </w:rPr>
              <w:t>电源指示灯：单个 LED 灯，通常为绿色或白色，当指示灯亮起时，表示系统已通电。</w:t>
            </w:r>
          </w:p>
          <w:p w14:paraId="07F3ABD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5" w:leftChars="0" w:hanging="425"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4.</w:t>
            </w:r>
            <w:r>
              <w:rPr>
                <w:rFonts w:hint="eastAsia" w:ascii="宋体" w:hAnsi="宋体" w:eastAsia="宋体" w:cs="宋体"/>
                <w:color w:val="auto"/>
                <w:sz w:val="18"/>
                <w:szCs w:val="18"/>
                <w:highlight w:val="none"/>
                <w:lang w:val="en-US" w:eastAsia="zh-CN"/>
              </w:rPr>
              <w:t>硬盘活动指示灯：单个 LED 灯，通常为红色，当指示灯闪烁时，表示硬盘正在进行读写操作。</w:t>
            </w:r>
          </w:p>
          <w:p w14:paraId="4B5233F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5" w:leftChars="0" w:hanging="425"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5.</w:t>
            </w:r>
            <w:r>
              <w:rPr>
                <w:rFonts w:hint="eastAsia" w:ascii="宋体" w:hAnsi="宋体" w:eastAsia="宋体" w:cs="宋体"/>
                <w:color w:val="auto"/>
                <w:sz w:val="18"/>
                <w:szCs w:val="18"/>
                <w:highlight w:val="none"/>
                <w:lang w:val="en-US" w:eastAsia="zh-CN"/>
              </w:rPr>
              <w:t>前置音频接口：采用 3.5mm 规格，包含耳机插孔和麦克风插孔，方便用户连接音频设备。</w:t>
            </w:r>
          </w:p>
          <w:p w14:paraId="77F20FA5">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5" w:leftChars="0" w:hanging="425"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6.</w:t>
            </w:r>
            <w:r>
              <w:rPr>
                <w:rFonts w:hint="eastAsia" w:ascii="宋体" w:hAnsi="宋体" w:eastAsia="宋体" w:cs="宋体"/>
                <w:color w:val="auto"/>
                <w:sz w:val="18"/>
                <w:szCs w:val="18"/>
                <w:highlight w:val="none"/>
                <w:lang w:val="en-US" w:eastAsia="zh-CN"/>
              </w:rPr>
              <w:t>前置 USB 接口：</w:t>
            </w:r>
          </w:p>
          <w:p w14:paraId="69E2B84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5" w:leftChars="0" w:hanging="425"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USB 2.0 接口：传输速度相对较慢，适用于连接对传输速度要求不高的设备。</w:t>
            </w:r>
          </w:p>
          <w:p w14:paraId="3B66F9A1">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5" w:leftChars="0" w:hanging="425"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USB 3.0 接口：接口颜色通常为蓝色（Type-A 口），传输速度比 USB 2.0 快。</w:t>
            </w:r>
          </w:p>
          <w:p w14:paraId="60321D9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5" w:leftChars="0" w:hanging="425"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USB 3.1 / 3.2 Gen 1 / Gen 2 接口：在传输速度上有所提升，满足不同设备的数据传输需求。</w:t>
            </w:r>
          </w:p>
          <w:p w14:paraId="01753261">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5" w:leftChars="0" w:hanging="425"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7.</w:t>
            </w:r>
            <w:r>
              <w:rPr>
                <w:rFonts w:hint="eastAsia" w:ascii="宋体" w:hAnsi="宋体" w:eastAsia="宋体" w:cs="宋体"/>
                <w:color w:val="auto"/>
                <w:sz w:val="18"/>
                <w:szCs w:val="18"/>
                <w:highlight w:val="none"/>
                <w:lang w:val="en-US" w:eastAsia="zh-CN"/>
              </w:rPr>
              <w:t>安装方式通常有两种：</w:t>
            </w:r>
          </w:p>
          <w:p w14:paraId="092EE055">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5" w:leftChars="0" w:hanging="425"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卡扣式：通过模块自身的卡扣结构，直接卡在机箱前面板的开孔处，安装和拆卸较为便捷。</w:t>
            </w:r>
          </w:p>
          <w:p w14:paraId="3E56685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螺丝固定：使用螺丝将开关模块固定在机箱前面板上，这种安装方式更为稳固，可有效防止模块松动。</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6AABA638">
            <w:pPr>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18"/>
                <w:szCs w:val="18"/>
                <w:highlight w:val="none"/>
                <w:lang w:val="en-US" w:eastAsia="zh-CN"/>
              </w:rPr>
              <w:t>60</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47204B49">
            <w:pPr>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18"/>
                <w:szCs w:val="18"/>
                <w:highlight w:val="none"/>
                <w:lang w:val="en-US" w:eastAsia="zh-CN"/>
              </w:rPr>
              <w:t>个</w:t>
            </w:r>
          </w:p>
        </w:tc>
        <w:tc>
          <w:tcPr>
            <w:tcW w:w="1357" w:type="dxa"/>
            <w:tcBorders>
              <w:top w:val="single" w:color="000000" w:sz="4" w:space="0"/>
              <w:left w:val="single" w:color="000000" w:sz="4" w:space="0"/>
              <w:bottom w:val="single" w:color="000000" w:sz="4" w:space="0"/>
              <w:right w:val="single" w:color="auto" w:sz="4" w:space="0"/>
            </w:tcBorders>
            <w:noWrap/>
            <w:vAlign w:val="center"/>
          </w:tcPr>
          <w:p w14:paraId="726BC1A0">
            <w:pPr>
              <w:rPr>
                <w:rFonts w:hint="eastAsia" w:ascii="宋体" w:hAnsi="宋体" w:eastAsia="宋体" w:cs="宋体"/>
                <w:color w:val="auto"/>
                <w:sz w:val="22"/>
                <w:szCs w:val="22"/>
                <w:highlight w:val="none"/>
              </w:rPr>
            </w:pPr>
          </w:p>
        </w:tc>
        <w:tc>
          <w:tcPr>
            <w:tcW w:w="1241" w:type="dxa"/>
            <w:tcBorders>
              <w:top w:val="single" w:color="auto" w:sz="4" w:space="0"/>
              <w:left w:val="single" w:color="auto" w:sz="4" w:space="0"/>
              <w:bottom w:val="single" w:color="000000" w:sz="4" w:space="0"/>
              <w:right w:val="single" w:color="auto" w:sz="4" w:space="0"/>
            </w:tcBorders>
            <w:noWrap/>
            <w:vAlign w:val="center"/>
          </w:tcPr>
          <w:p w14:paraId="329BF221">
            <w:pPr>
              <w:rPr>
                <w:rFonts w:hint="eastAsia" w:ascii="宋体" w:hAnsi="宋体" w:eastAsia="宋体" w:cs="宋体"/>
                <w:color w:val="auto"/>
                <w:sz w:val="22"/>
                <w:szCs w:val="22"/>
                <w:highlight w:val="none"/>
              </w:rPr>
            </w:pPr>
          </w:p>
        </w:tc>
        <w:tc>
          <w:tcPr>
            <w:tcW w:w="1763" w:type="dxa"/>
            <w:tcBorders>
              <w:top w:val="single" w:color="auto" w:sz="4" w:space="0"/>
              <w:left w:val="single" w:color="auto" w:sz="4" w:space="0"/>
              <w:bottom w:val="single" w:color="000000" w:sz="4" w:space="0"/>
              <w:right w:val="single" w:color="000000" w:sz="4" w:space="0"/>
            </w:tcBorders>
            <w:noWrap/>
            <w:vAlign w:val="center"/>
          </w:tcPr>
          <w:p w14:paraId="0F79C05B">
            <w:pPr>
              <w:rPr>
                <w:rFonts w:hint="eastAsia" w:ascii="宋体" w:hAnsi="宋体" w:eastAsia="宋体" w:cs="宋体"/>
                <w:color w:val="auto"/>
                <w:sz w:val="22"/>
                <w:szCs w:val="22"/>
                <w:highlight w:val="none"/>
              </w:rPr>
            </w:pPr>
          </w:p>
        </w:tc>
      </w:tr>
      <w:tr w14:paraId="1A5C32A4">
        <w:tblPrEx>
          <w:tblCellMar>
            <w:top w:w="0" w:type="dxa"/>
            <w:left w:w="108" w:type="dxa"/>
            <w:bottom w:w="0" w:type="dxa"/>
            <w:right w:w="108" w:type="dxa"/>
          </w:tblCellMar>
        </w:tblPrEx>
        <w:trPr>
          <w:trHeight w:val="499" w:hRule="atLeast"/>
          <w:jc w:val="center"/>
        </w:trPr>
        <w:tc>
          <w:tcPr>
            <w:tcW w:w="14542" w:type="dxa"/>
            <w:gridSpan w:val="8"/>
            <w:tcBorders>
              <w:top w:val="single" w:color="000000" w:sz="4" w:space="0"/>
              <w:left w:val="single" w:color="000000" w:sz="4" w:space="0"/>
              <w:bottom w:val="single" w:color="000000" w:sz="4" w:space="0"/>
              <w:right w:val="single" w:color="000000" w:sz="4" w:space="0"/>
            </w:tcBorders>
            <w:noWrap/>
            <w:vAlign w:val="center"/>
          </w:tcPr>
          <w:p w14:paraId="37F4DE48">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b/>
                <w:bCs/>
                <w:color w:val="auto"/>
                <w:sz w:val="21"/>
                <w:szCs w:val="21"/>
                <w:highlight w:val="none"/>
                <w:lang w:val="en-US" w:eastAsia="zh-CN"/>
              </w:rPr>
              <w:t>（二）实训室配套清单</w:t>
            </w:r>
          </w:p>
        </w:tc>
      </w:tr>
      <w:tr w14:paraId="7FAFB60F">
        <w:tblPrEx>
          <w:tblCellMar>
            <w:top w:w="0" w:type="dxa"/>
            <w:left w:w="108" w:type="dxa"/>
            <w:bottom w:w="0" w:type="dxa"/>
            <w:right w:w="108" w:type="dxa"/>
          </w:tblCellMar>
        </w:tblPrEx>
        <w:trPr>
          <w:trHeight w:val="499" w:hRule="atLeast"/>
          <w:jc w:val="center"/>
        </w:trPr>
        <w:tc>
          <w:tcPr>
            <w:tcW w:w="647" w:type="dxa"/>
            <w:tcBorders>
              <w:top w:val="single" w:color="000000" w:sz="4" w:space="0"/>
              <w:left w:val="single" w:color="000000" w:sz="4" w:space="0"/>
              <w:bottom w:val="single" w:color="000000" w:sz="4" w:space="0"/>
              <w:right w:val="single" w:color="000000" w:sz="4" w:space="0"/>
            </w:tcBorders>
            <w:noWrap/>
            <w:vAlign w:val="center"/>
          </w:tcPr>
          <w:p w14:paraId="31DA65DA">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0FA288D8">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安装施工</w:t>
            </w:r>
          </w:p>
        </w:tc>
        <w:tc>
          <w:tcPr>
            <w:tcW w:w="6480" w:type="dxa"/>
            <w:tcBorders>
              <w:top w:val="single" w:color="000000" w:sz="4" w:space="0"/>
              <w:left w:val="single" w:color="000000" w:sz="4" w:space="0"/>
              <w:bottom w:val="single" w:color="000000" w:sz="4" w:space="0"/>
              <w:right w:val="single" w:color="000000" w:sz="4" w:space="0"/>
            </w:tcBorders>
            <w:noWrap w:val="0"/>
            <w:vAlign w:val="center"/>
          </w:tcPr>
          <w:p w14:paraId="666B2D95">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1.</w:t>
            </w:r>
            <w:r>
              <w:rPr>
                <w:rFonts w:hint="eastAsia" w:ascii="宋体" w:hAnsi="宋体" w:eastAsia="宋体" w:cs="宋体"/>
                <w:color w:val="auto"/>
                <w:sz w:val="18"/>
                <w:szCs w:val="18"/>
                <w:highlight w:val="none"/>
                <w:lang w:val="en-US" w:eastAsia="zh-CN"/>
              </w:rPr>
              <w:t>包含Aol电箱移位改造、4㎡电线、超五类网线、8芯光缆、满配终端盒、熔接、跳纤。</w:t>
            </w:r>
          </w:p>
          <w:p w14:paraId="359C1432">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2.</w:t>
            </w:r>
            <w:r>
              <w:rPr>
                <w:rFonts w:hint="eastAsia" w:ascii="宋体" w:hAnsi="宋体" w:eastAsia="宋体" w:cs="宋体"/>
                <w:color w:val="auto"/>
                <w:sz w:val="18"/>
                <w:szCs w:val="18"/>
                <w:highlight w:val="none"/>
                <w:lang w:val="en-US" w:eastAsia="zh-CN"/>
              </w:rPr>
              <w:t>打墙（隔壁房间打通），拆除墙面以及除渣，打墙面积约30平（实际以测量为准）。</w:t>
            </w:r>
          </w:p>
          <w:p w14:paraId="3B5204F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3.</w:t>
            </w:r>
            <w:r>
              <w:rPr>
                <w:rFonts w:hint="eastAsia" w:ascii="宋体" w:hAnsi="宋体" w:eastAsia="宋体" w:cs="宋体"/>
                <w:color w:val="auto"/>
                <w:sz w:val="18"/>
                <w:szCs w:val="18"/>
                <w:highlight w:val="none"/>
                <w:lang w:val="en-US" w:eastAsia="zh-CN"/>
              </w:rPr>
              <w:t>墙面处理（刮白粉刷处理）、PVC管材以及相应辅材。</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64978228">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11A91122">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间</w:t>
            </w:r>
          </w:p>
        </w:tc>
        <w:tc>
          <w:tcPr>
            <w:tcW w:w="1357" w:type="dxa"/>
            <w:tcBorders>
              <w:top w:val="single" w:color="000000" w:sz="4" w:space="0"/>
              <w:left w:val="single" w:color="000000" w:sz="4" w:space="0"/>
              <w:bottom w:val="single" w:color="000000" w:sz="4" w:space="0"/>
              <w:right w:val="single" w:color="auto" w:sz="4" w:space="0"/>
            </w:tcBorders>
            <w:noWrap/>
            <w:vAlign w:val="center"/>
          </w:tcPr>
          <w:p w14:paraId="6344424B">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rPr>
            </w:pPr>
          </w:p>
        </w:tc>
        <w:tc>
          <w:tcPr>
            <w:tcW w:w="1241" w:type="dxa"/>
            <w:tcBorders>
              <w:top w:val="single" w:color="000000" w:sz="4" w:space="0"/>
              <w:left w:val="single" w:color="auto" w:sz="4" w:space="0"/>
              <w:bottom w:val="single" w:color="000000" w:sz="4" w:space="0"/>
              <w:right w:val="single" w:color="auto" w:sz="4" w:space="0"/>
            </w:tcBorders>
            <w:noWrap/>
            <w:vAlign w:val="center"/>
          </w:tcPr>
          <w:p w14:paraId="6A93BE5C">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rPr>
            </w:pPr>
          </w:p>
        </w:tc>
        <w:tc>
          <w:tcPr>
            <w:tcW w:w="1763" w:type="dxa"/>
            <w:tcBorders>
              <w:top w:val="single" w:color="000000" w:sz="4" w:space="0"/>
              <w:left w:val="single" w:color="auto" w:sz="4" w:space="0"/>
              <w:bottom w:val="single" w:color="000000" w:sz="4" w:space="0"/>
              <w:right w:val="single" w:color="000000" w:sz="4" w:space="0"/>
            </w:tcBorders>
            <w:noWrap/>
            <w:vAlign w:val="center"/>
          </w:tcPr>
          <w:p w14:paraId="29E6FC30">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rPr>
            </w:pPr>
          </w:p>
        </w:tc>
      </w:tr>
      <w:tr w14:paraId="3009C10B">
        <w:tblPrEx>
          <w:tblCellMar>
            <w:top w:w="0" w:type="dxa"/>
            <w:left w:w="108" w:type="dxa"/>
            <w:bottom w:w="0" w:type="dxa"/>
            <w:right w:w="108" w:type="dxa"/>
          </w:tblCellMar>
        </w:tblPrEx>
        <w:trPr>
          <w:trHeight w:val="499" w:hRule="atLeast"/>
          <w:jc w:val="center"/>
        </w:trPr>
        <w:tc>
          <w:tcPr>
            <w:tcW w:w="647" w:type="dxa"/>
            <w:tcBorders>
              <w:top w:val="single" w:color="000000" w:sz="4" w:space="0"/>
              <w:left w:val="single" w:color="000000" w:sz="4" w:space="0"/>
              <w:bottom w:val="single" w:color="000000" w:sz="4" w:space="0"/>
              <w:right w:val="single" w:color="000000" w:sz="4" w:space="0"/>
            </w:tcBorders>
            <w:noWrap/>
            <w:vAlign w:val="center"/>
          </w:tcPr>
          <w:p w14:paraId="2E6C8A95">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19C18AF8">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综合布线以及安装调试</w:t>
            </w:r>
          </w:p>
        </w:tc>
        <w:tc>
          <w:tcPr>
            <w:tcW w:w="6480" w:type="dxa"/>
            <w:tcBorders>
              <w:top w:val="single" w:color="000000" w:sz="4" w:space="0"/>
              <w:left w:val="single" w:color="000000" w:sz="4" w:space="0"/>
              <w:bottom w:val="single" w:color="000000" w:sz="4" w:space="0"/>
              <w:right w:val="single" w:color="000000" w:sz="4" w:space="0"/>
            </w:tcBorders>
            <w:noWrap w:val="0"/>
            <w:vAlign w:val="center"/>
          </w:tcPr>
          <w:p w14:paraId="744A1945">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所需的2.5㎡、4㎡强电线缆，六类网线弱电线缆以及相应的公牛排插等辅材，搬运安装调试</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5ACDA53E">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5F7FA047">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批</w:t>
            </w:r>
          </w:p>
        </w:tc>
        <w:tc>
          <w:tcPr>
            <w:tcW w:w="1357" w:type="dxa"/>
            <w:tcBorders>
              <w:top w:val="single" w:color="000000" w:sz="4" w:space="0"/>
              <w:left w:val="single" w:color="000000" w:sz="4" w:space="0"/>
              <w:bottom w:val="single" w:color="000000" w:sz="4" w:space="0"/>
              <w:right w:val="single" w:color="auto" w:sz="4" w:space="0"/>
            </w:tcBorders>
            <w:noWrap/>
            <w:vAlign w:val="center"/>
          </w:tcPr>
          <w:p w14:paraId="740FBC63">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rPr>
            </w:pPr>
          </w:p>
        </w:tc>
        <w:tc>
          <w:tcPr>
            <w:tcW w:w="1241" w:type="dxa"/>
            <w:tcBorders>
              <w:top w:val="single" w:color="000000" w:sz="4" w:space="0"/>
              <w:left w:val="single" w:color="auto" w:sz="4" w:space="0"/>
              <w:bottom w:val="single" w:color="000000" w:sz="4" w:space="0"/>
              <w:right w:val="single" w:color="auto" w:sz="4" w:space="0"/>
            </w:tcBorders>
            <w:noWrap/>
            <w:vAlign w:val="center"/>
          </w:tcPr>
          <w:p w14:paraId="563D4539">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rPr>
            </w:pPr>
          </w:p>
        </w:tc>
        <w:tc>
          <w:tcPr>
            <w:tcW w:w="1763" w:type="dxa"/>
            <w:tcBorders>
              <w:top w:val="single" w:color="000000" w:sz="4" w:space="0"/>
              <w:left w:val="single" w:color="auto" w:sz="4" w:space="0"/>
              <w:bottom w:val="single" w:color="000000" w:sz="4" w:space="0"/>
              <w:right w:val="single" w:color="000000" w:sz="4" w:space="0"/>
            </w:tcBorders>
            <w:noWrap/>
            <w:vAlign w:val="center"/>
          </w:tcPr>
          <w:p w14:paraId="16517C40">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rPr>
            </w:pPr>
          </w:p>
        </w:tc>
      </w:tr>
      <w:tr w14:paraId="78C9A377">
        <w:tblPrEx>
          <w:tblCellMar>
            <w:top w:w="0" w:type="dxa"/>
            <w:left w:w="108" w:type="dxa"/>
            <w:bottom w:w="0" w:type="dxa"/>
            <w:right w:w="108" w:type="dxa"/>
          </w:tblCellMar>
        </w:tblPrEx>
        <w:trPr>
          <w:trHeight w:val="499" w:hRule="atLeast"/>
          <w:jc w:val="center"/>
        </w:trPr>
        <w:tc>
          <w:tcPr>
            <w:tcW w:w="647" w:type="dxa"/>
            <w:tcBorders>
              <w:top w:val="single" w:color="000000" w:sz="4" w:space="0"/>
              <w:left w:val="single" w:color="000000" w:sz="4" w:space="0"/>
              <w:bottom w:val="single" w:color="000000" w:sz="4" w:space="0"/>
              <w:right w:val="single" w:color="000000" w:sz="4" w:space="0"/>
            </w:tcBorders>
            <w:noWrap/>
            <w:vAlign w:val="center"/>
          </w:tcPr>
          <w:p w14:paraId="61231E45">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583984C3">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机柜</w:t>
            </w:r>
          </w:p>
        </w:tc>
        <w:tc>
          <w:tcPr>
            <w:tcW w:w="6480" w:type="dxa"/>
            <w:tcBorders>
              <w:top w:val="single" w:color="000000" w:sz="4" w:space="0"/>
              <w:left w:val="single" w:color="000000" w:sz="4" w:space="0"/>
              <w:bottom w:val="single" w:color="000000" w:sz="4" w:space="0"/>
              <w:right w:val="single" w:color="000000" w:sz="4" w:space="0"/>
            </w:tcBorders>
            <w:noWrap w:val="0"/>
            <w:vAlign w:val="center"/>
          </w:tcPr>
          <w:p w14:paraId="3359C5DF">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1、参数要求</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lang w:val="en-US" w:eastAsia="zh-CN" w:bidi="ar"/>
              </w:rPr>
              <w:t>600*800*1200mm，整体框架结构，材料：框架: SPCC优质冷轧钢板；厚度：</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lang w:val="en-US" w:eastAsia="zh-CN" w:bidi="ar"/>
              </w:rPr>
              <w:t>方孔条2.0mm，安装梁</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lang w:val="en-US" w:eastAsia="zh-CN" w:bidi="ar"/>
              </w:rPr>
              <w:t>1.2mm，侧门</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lang w:val="en-US" w:eastAsia="zh-CN" w:bidi="ar"/>
              </w:rPr>
              <w:t>1.0mm，其它</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lang w:val="en-US" w:eastAsia="zh-CN" w:bidi="ar"/>
              </w:rPr>
              <w:t>1.2mm；高级旋把门锁。承重</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lang w:val="en-US" w:eastAsia="zh-CN" w:bidi="ar"/>
              </w:rPr>
              <w:t>800kg.整体机架，前后网孔门，机柜顶部四个全静音风扇，保证内部良好通风及散热，封闭式电缆管理，电缆从顶部或底部进入；侧门可拆卸。在前后门安装6个缓冲垫，有明显的提示标签，机柜带有独立防静电接地系统系统，安装立柱可调整，可提供机柜并柜件。</w:t>
            </w:r>
          </w:p>
          <w:p w14:paraId="6662D58F">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2、配件：一个10A6位PDU电源，3个层板，4个风扇，40套M6卡扣安装螺丝，地脚螺钉4颗。</w:t>
            </w:r>
          </w:p>
          <w:p w14:paraId="60FCE433">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0"/>
                <w:sz w:val="18"/>
                <w:szCs w:val="18"/>
                <w:highlight w:val="none"/>
                <w:lang w:val="en-US" w:eastAsia="zh-CN" w:bidi="ar"/>
              </w:rPr>
              <w:t>3、质量保障：制造商通过国际质量体系ISO9000、CE、ROHS等认证。</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7EECCBE6">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0C517A56">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个</w:t>
            </w:r>
          </w:p>
        </w:tc>
        <w:tc>
          <w:tcPr>
            <w:tcW w:w="1357" w:type="dxa"/>
            <w:tcBorders>
              <w:top w:val="single" w:color="000000" w:sz="4" w:space="0"/>
              <w:left w:val="single" w:color="000000" w:sz="4" w:space="0"/>
              <w:bottom w:val="single" w:color="000000" w:sz="4" w:space="0"/>
              <w:right w:val="single" w:color="auto" w:sz="4" w:space="0"/>
            </w:tcBorders>
            <w:noWrap/>
            <w:vAlign w:val="center"/>
          </w:tcPr>
          <w:p w14:paraId="25EF311D">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rPr>
            </w:pPr>
          </w:p>
        </w:tc>
        <w:tc>
          <w:tcPr>
            <w:tcW w:w="1241" w:type="dxa"/>
            <w:tcBorders>
              <w:top w:val="single" w:color="000000" w:sz="4" w:space="0"/>
              <w:left w:val="single" w:color="auto" w:sz="4" w:space="0"/>
              <w:bottom w:val="single" w:color="000000" w:sz="4" w:space="0"/>
              <w:right w:val="single" w:color="auto" w:sz="4" w:space="0"/>
            </w:tcBorders>
            <w:noWrap/>
            <w:vAlign w:val="center"/>
          </w:tcPr>
          <w:p w14:paraId="000AA89B">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rPr>
            </w:pPr>
          </w:p>
        </w:tc>
        <w:tc>
          <w:tcPr>
            <w:tcW w:w="1763" w:type="dxa"/>
            <w:tcBorders>
              <w:top w:val="single" w:color="000000" w:sz="4" w:space="0"/>
              <w:left w:val="single" w:color="auto" w:sz="4" w:space="0"/>
              <w:bottom w:val="single" w:color="000000" w:sz="4" w:space="0"/>
              <w:right w:val="single" w:color="000000" w:sz="4" w:space="0"/>
            </w:tcBorders>
            <w:noWrap/>
            <w:vAlign w:val="center"/>
          </w:tcPr>
          <w:p w14:paraId="01B52BE5">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rPr>
            </w:pPr>
          </w:p>
        </w:tc>
      </w:tr>
      <w:tr w14:paraId="0A35D174">
        <w:tblPrEx>
          <w:tblCellMar>
            <w:top w:w="0" w:type="dxa"/>
            <w:left w:w="108" w:type="dxa"/>
            <w:bottom w:w="0" w:type="dxa"/>
            <w:right w:w="108" w:type="dxa"/>
          </w:tblCellMar>
        </w:tblPrEx>
        <w:trPr>
          <w:trHeight w:val="499" w:hRule="atLeast"/>
          <w:jc w:val="center"/>
        </w:trPr>
        <w:tc>
          <w:tcPr>
            <w:tcW w:w="647" w:type="dxa"/>
            <w:tcBorders>
              <w:top w:val="single" w:color="000000" w:sz="4" w:space="0"/>
              <w:left w:val="single" w:color="000000" w:sz="4" w:space="0"/>
              <w:bottom w:val="single" w:color="000000" w:sz="4" w:space="0"/>
              <w:right w:val="single" w:color="000000" w:sz="4" w:space="0"/>
            </w:tcBorders>
            <w:noWrap/>
            <w:vAlign w:val="center"/>
          </w:tcPr>
          <w:p w14:paraId="038D6CA1">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5180BE83">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电脑桌</w:t>
            </w:r>
          </w:p>
        </w:tc>
        <w:tc>
          <w:tcPr>
            <w:tcW w:w="6480" w:type="dxa"/>
            <w:tcBorders>
              <w:top w:val="single" w:color="000000" w:sz="4" w:space="0"/>
              <w:left w:val="single" w:color="000000" w:sz="4" w:space="0"/>
              <w:bottom w:val="single" w:color="000000" w:sz="4" w:space="0"/>
              <w:right w:val="single" w:color="000000" w:sz="4" w:space="0"/>
            </w:tcBorders>
            <w:noWrap w:val="0"/>
            <w:vAlign w:val="center"/>
          </w:tcPr>
          <w:p w14:paraId="55E1C275">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1.钢木组合结构，桌面采用</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eastAsia="宋体" w:cs="宋体"/>
                <w:color w:val="auto"/>
                <w:sz w:val="18"/>
                <w:szCs w:val="18"/>
                <w:highlight w:val="none"/>
                <w:lang w:val="en-US" w:eastAsia="zh-CN"/>
              </w:rPr>
              <w:t>25mm厚压缩多层实木板外贴防火板，带穿线孔。</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2.钢材部分采用</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eastAsia="宋体" w:cs="宋体"/>
                <w:color w:val="auto"/>
                <w:sz w:val="18"/>
                <w:szCs w:val="18"/>
                <w:highlight w:val="none"/>
                <w:lang w:val="en-US" w:eastAsia="zh-CN"/>
              </w:rPr>
              <w:t>1.2mm扁钢管，经数控弯管机握弯成型m冷轧钢板制作并布局散热孔。</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3.所有基材均耐酸碱、防虫、防腐等特出处理。</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4.封边严密、平整、与整块板材严丝合缝。</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5.规格</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eastAsia="宋体" w:cs="宋体"/>
                <w:color w:val="auto"/>
                <w:sz w:val="18"/>
                <w:szCs w:val="18"/>
                <w:highlight w:val="none"/>
                <w:lang w:val="en-US" w:eastAsia="zh-CN"/>
              </w:rPr>
              <w:t>1400*550*750</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50DAB084">
            <w:pPr>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bidi="ar"/>
              </w:rPr>
              <w:t>30</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5B4479EB">
            <w:pPr>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bidi="ar"/>
              </w:rPr>
              <w:t>张</w:t>
            </w:r>
          </w:p>
        </w:tc>
        <w:tc>
          <w:tcPr>
            <w:tcW w:w="1357" w:type="dxa"/>
            <w:tcBorders>
              <w:top w:val="single" w:color="000000" w:sz="4" w:space="0"/>
              <w:left w:val="single" w:color="000000" w:sz="4" w:space="0"/>
              <w:bottom w:val="single" w:color="000000" w:sz="4" w:space="0"/>
              <w:right w:val="single" w:color="auto" w:sz="4" w:space="0"/>
            </w:tcBorders>
            <w:noWrap/>
            <w:vAlign w:val="center"/>
          </w:tcPr>
          <w:p w14:paraId="18483FFB">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p>
        </w:tc>
        <w:tc>
          <w:tcPr>
            <w:tcW w:w="1241" w:type="dxa"/>
            <w:tcBorders>
              <w:top w:val="single" w:color="000000" w:sz="4" w:space="0"/>
              <w:left w:val="single" w:color="auto" w:sz="4" w:space="0"/>
              <w:bottom w:val="single" w:color="000000" w:sz="4" w:space="0"/>
              <w:right w:val="single" w:color="auto" w:sz="4" w:space="0"/>
            </w:tcBorders>
            <w:noWrap/>
            <w:vAlign w:val="center"/>
          </w:tcPr>
          <w:p w14:paraId="55552308">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p>
        </w:tc>
        <w:tc>
          <w:tcPr>
            <w:tcW w:w="1763" w:type="dxa"/>
            <w:tcBorders>
              <w:top w:val="single" w:color="000000" w:sz="4" w:space="0"/>
              <w:left w:val="single" w:color="auto" w:sz="4" w:space="0"/>
              <w:bottom w:val="single" w:color="000000" w:sz="4" w:space="0"/>
              <w:right w:val="single" w:color="000000" w:sz="4" w:space="0"/>
            </w:tcBorders>
            <w:noWrap/>
            <w:vAlign w:val="center"/>
          </w:tcPr>
          <w:p w14:paraId="79778880">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highlight w:val="none"/>
              </w:rPr>
              <w:drawing>
                <wp:anchor distT="0" distB="0" distL="114300" distR="114300" simplePos="0" relativeHeight="251678720" behindDoc="1" locked="0" layoutInCell="1" allowOverlap="1">
                  <wp:simplePos x="0" y="0"/>
                  <wp:positionH relativeFrom="column">
                    <wp:posOffset>-52705</wp:posOffset>
                  </wp:positionH>
                  <wp:positionV relativeFrom="paragraph">
                    <wp:posOffset>17780</wp:posOffset>
                  </wp:positionV>
                  <wp:extent cx="1179830" cy="1139825"/>
                  <wp:effectExtent l="0" t="0" r="1270" b="3175"/>
                  <wp:wrapTight wrapText="bothSides">
                    <wp:wrapPolygon>
                      <wp:start x="0" y="0"/>
                      <wp:lineTo x="0" y="21299"/>
                      <wp:lineTo x="21274" y="21299"/>
                      <wp:lineTo x="21274" y="0"/>
                      <wp:lineTo x="0" y="0"/>
                    </wp:wrapPolygon>
                  </wp:wrapTight>
                  <wp:docPr id="1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pic:cNvPicPr>
                            <a:picLocks noChangeAspect="1"/>
                          </pic:cNvPicPr>
                        </pic:nvPicPr>
                        <pic:blipFill>
                          <a:blip r:embed="rId41"/>
                          <a:stretch>
                            <a:fillRect/>
                          </a:stretch>
                        </pic:blipFill>
                        <pic:spPr>
                          <a:xfrm>
                            <a:off x="0" y="0"/>
                            <a:ext cx="1179830" cy="1139825"/>
                          </a:xfrm>
                          <a:prstGeom prst="rect">
                            <a:avLst/>
                          </a:prstGeom>
                          <a:noFill/>
                          <a:ln>
                            <a:noFill/>
                          </a:ln>
                        </pic:spPr>
                      </pic:pic>
                    </a:graphicData>
                  </a:graphic>
                </wp:anchor>
              </w:drawing>
            </w:r>
          </w:p>
        </w:tc>
      </w:tr>
      <w:tr w14:paraId="7492DAA8">
        <w:tblPrEx>
          <w:tblCellMar>
            <w:top w:w="0" w:type="dxa"/>
            <w:left w:w="108" w:type="dxa"/>
            <w:bottom w:w="0" w:type="dxa"/>
            <w:right w:w="108" w:type="dxa"/>
          </w:tblCellMar>
        </w:tblPrEx>
        <w:trPr>
          <w:trHeight w:val="499" w:hRule="atLeast"/>
          <w:jc w:val="center"/>
        </w:trPr>
        <w:tc>
          <w:tcPr>
            <w:tcW w:w="647" w:type="dxa"/>
            <w:tcBorders>
              <w:top w:val="single" w:color="000000" w:sz="4" w:space="0"/>
              <w:left w:val="single" w:color="000000" w:sz="4" w:space="0"/>
              <w:bottom w:val="single" w:color="000000" w:sz="4" w:space="0"/>
              <w:right w:val="single" w:color="000000" w:sz="4" w:space="0"/>
            </w:tcBorders>
            <w:noWrap/>
            <w:vAlign w:val="center"/>
          </w:tcPr>
          <w:p w14:paraId="4094E0FF">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5</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1247497E">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电脑椅</w:t>
            </w:r>
          </w:p>
        </w:tc>
        <w:tc>
          <w:tcPr>
            <w:tcW w:w="6480" w:type="dxa"/>
            <w:tcBorders>
              <w:top w:val="single" w:color="000000" w:sz="4" w:space="0"/>
              <w:left w:val="single" w:color="000000" w:sz="4" w:space="0"/>
              <w:bottom w:val="single" w:color="000000" w:sz="4" w:space="0"/>
              <w:right w:val="single" w:color="000000" w:sz="4" w:space="0"/>
            </w:tcBorders>
            <w:noWrap w:val="0"/>
            <w:vAlign w:val="center"/>
          </w:tcPr>
          <w:p w14:paraId="069ECACC">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1.钢木组合结构，桌面采用</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eastAsia="宋体" w:cs="宋体"/>
                <w:color w:val="auto"/>
                <w:sz w:val="18"/>
                <w:szCs w:val="18"/>
                <w:highlight w:val="none"/>
                <w:lang w:val="en-US" w:eastAsia="zh-CN"/>
              </w:rPr>
              <w:t>25mm厚压缩多层实木板外贴防火板，带穿线孔。</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2.钢材部分采用</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eastAsia="宋体" w:cs="宋体"/>
                <w:color w:val="auto"/>
                <w:sz w:val="18"/>
                <w:szCs w:val="18"/>
                <w:highlight w:val="none"/>
                <w:lang w:val="en-US" w:eastAsia="zh-CN"/>
              </w:rPr>
              <w:t>1.2mm扁钢管，经数控弯管机握弯成型m冷轧钢板制作并布局散热孔。</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3.所有基材均耐酸碱、防虫、防腐等特出处理。</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4.封边严密、平整、与整块板材严丝合缝。</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5.规格</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eastAsia="宋体" w:cs="宋体"/>
                <w:color w:val="auto"/>
                <w:sz w:val="18"/>
                <w:szCs w:val="18"/>
                <w:highlight w:val="none"/>
                <w:lang w:val="en-US" w:eastAsia="zh-CN"/>
              </w:rPr>
              <w:t>340*240*450</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26443109">
            <w:pPr>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bidi="ar"/>
              </w:rPr>
              <w:t>60</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5D0BB9FD">
            <w:pPr>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bidi="ar"/>
              </w:rPr>
              <w:t>张</w:t>
            </w:r>
          </w:p>
        </w:tc>
        <w:tc>
          <w:tcPr>
            <w:tcW w:w="1357" w:type="dxa"/>
            <w:tcBorders>
              <w:top w:val="single" w:color="000000" w:sz="4" w:space="0"/>
              <w:left w:val="single" w:color="000000" w:sz="4" w:space="0"/>
              <w:bottom w:val="single" w:color="000000" w:sz="4" w:space="0"/>
              <w:right w:val="single" w:color="auto" w:sz="4" w:space="0"/>
            </w:tcBorders>
            <w:noWrap/>
            <w:vAlign w:val="center"/>
          </w:tcPr>
          <w:p w14:paraId="030EE338">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rPr>
            </w:pPr>
          </w:p>
        </w:tc>
        <w:tc>
          <w:tcPr>
            <w:tcW w:w="1241" w:type="dxa"/>
            <w:tcBorders>
              <w:top w:val="single" w:color="000000" w:sz="4" w:space="0"/>
              <w:left w:val="single" w:color="auto" w:sz="4" w:space="0"/>
              <w:bottom w:val="single" w:color="000000" w:sz="4" w:space="0"/>
              <w:right w:val="single" w:color="auto" w:sz="4" w:space="0"/>
            </w:tcBorders>
            <w:noWrap/>
            <w:vAlign w:val="center"/>
          </w:tcPr>
          <w:p w14:paraId="7FB8BE57">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rPr>
            </w:pPr>
          </w:p>
        </w:tc>
        <w:tc>
          <w:tcPr>
            <w:tcW w:w="1763" w:type="dxa"/>
            <w:tcBorders>
              <w:top w:val="single" w:color="000000" w:sz="4" w:space="0"/>
              <w:left w:val="single" w:color="auto" w:sz="4" w:space="0"/>
              <w:bottom w:val="single" w:color="000000" w:sz="4" w:space="0"/>
              <w:right w:val="single" w:color="000000" w:sz="4" w:space="0"/>
            </w:tcBorders>
            <w:noWrap/>
            <w:vAlign w:val="center"/>
          </w:tcPr>
          <w:p w14:paraId="4C742D82">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rPr>
            </w:pPr>
          </w:p>
        </w:tc>
      </w:tr>
      <w:tr w14:paraId="0A4B1E32">
        <w:tblPrEx>
          <w:tblCellMar>
            <w:top w:w="0" w:type="dxa"/>
            <w:left w:w="108" w:type="dxa"/>
            <w:bottom w:w="0" w:type="dxa"/>
            <w:right w:w="108" w:type="dxa"/>
          </w:tblCellMar>
        </w:tblPrEx>
        <w:trPr>
          <w:trHeight w:val="499" w:hRule="atLeast"/>
          <w:jc w:val="center"/>
        </w:trPr>
        <w:tc>
          <w:tcPr>
            <w:tcW w:w="647" w:type="dxa"/>
            <w:tcBorders>
              <w:top w:val="single" w:color="000000" w:sz="4" w:space="0"/>
              <w:left w:val="single" w:color="000000" w:sz="4" w:space="0"/>
              <w:bottom w:val="single" w:color="000000" w:sz="4" w:space="0"/>
              <w:right w:val="single" w:color="000000" w:sz="4" w:space="0"/>
            </w:tcBorders>
            <w:noWrap/>
            <w:vAlign w:val="center"/>
          </w:tcPr>
          <w:p w14:paraId="1CB2DCB4">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21F79771">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静电地板</w:t>
            </w:r>
          </w:p>
        </w:tc>
        <w:tc>
          <w:tcPr>
            <w:tcW w:w="6480" w:type="dxa"/>
            <w:tcBorders>
              <w:top w:val="single" w:color="000000" w:sz="4" w:space="0"/>
              <w:left w:val="single" w:color="000000" w:sz="4" w:space="0"/>
              <w:bottom w:val="single" w:color="000000" w:sz="4" w:space="0"/>
              <w:right w:val="single" w:color="000000" w:sz="4" w:space="0"/>
            </w:tcBorders>
            <w:noWrap w:val="0"/>
            <w:vAlign w:val="center"/>
          </w:tcPr>
          <w:p w14:paraId="5DF38165">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1.陶瓷小兰花 600*600*45</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2.集中载荷=2950N时挠度：1.21mm、永久变形：0.2mm</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3.均布载荷=12500N/㎡ 挠度：0.88mm</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4.极限集中载荷</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eastAsia="宋体" w:cs="宋体"/>
                <w:color w:val="auto"/>
                <w:sz w:val="18"/>
                <w:szCs w:val="18"/>
                <w:highlight w:val="none"/>
                <w:lang w:val="en-US" w:eastAsia="zh-CN"/>
              </w:rPr>
              <w:t>13580N</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5D717B5D">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95</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73B53964">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w:t>
            </w:r>
          </w:p>
        </w:tc>
        <w:tc>
          <w:tcPr>
            <w:tcW w:w="1357" w:type="dxa"/>
            <w:tcBorders>
              <w:top w:val="single" w:color="000000" w:sz="4" w:space="0"/>
              <w:left w:val="single" w:color="000000" w:sz="4" w:space="0"/>
              <w:bottom w:val="single" w:color="000000" w:sz="4" w:space="0"/>
              <w:right w:val="single" w:color="auto" w:sz="4" w:space="0"/>
            </w:tcBorders>
            <w:noWrap/>
            <w:vAlign w:val="center"/>
          </w:tcPr>
          <w:p w14:paraId="77BD809B">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rPr>
            </w:pPr>
          </w:p>
        </w:tc>
        <w:tc>
          <w:tcPr>
            <w:tcW w:w="1241" w:type="dxa"/>
            <w:tcBorders>
              <w:top w:val="single" w:color="000000" w:sz="4" w:space="0"/>
              <w:left w:val="single" w:color="auto" w:sz="4" w:space="0"/>
              <w:bottom w:val="single" w:color="000000" w:sz="4" w:space="0"/>
              <w:right w:val="single" w:color="auto" w:sz="4" w:space="0"/>
            </w:tcBorders>
            <w:noWrap/>
            <w:vAlign w:val="center"/>
          </w:tcPr>
          <w:p w14:paraId="54070189">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rPr>
            </w:pPr>
          </w:p>
        </w:tc>
        <w:tc>
          <w:tcPr>
            <w:tcW w:w="1763" w:type="dxa"/>
            <w:tcBorders>
              <w:top w:val="single" w:color="000000" w:sz="4" w:space="0"/>
              <w:left w:val="single" w:color="auto" w:sz="4" w:space="0"/>
              <w:bottom w:val="single" w:color="000000" w:sz="4" w:space="0"/>
              <w:right w:val="single" w:color="000000" w:sz="4" w:space="0"/>
            </w:tcBorders>
            <w:noWrap/>
            <w:vAlign w:val="center"/>
          </w:tcPr>
          <w:p w14:paraId="50DF9FAE">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rPr>
            </w:pPr>
          </w:p>
        </w:tc>
      </w:tr>
      <w:tr w14:paraId="4D7F8F3B">
        <w:tblPrEx>
          <w:tblCellMar>
            <w:top w:w="0" w:type="dxa"/>
            <w:left w:w="108" w:type="dxa"/>
            <w:bottom w:w="0" w:type="dxa"/>
            <w:right w:w="108" w:type="dxa"/>
          </w:tblCellMar>
        </w:tblPrEx>
        <w:trPr>
          <w:trHeight w:val="860" w:hRule="atLeast"/>
          <w:jc w:val="center"/>
        </w:trPr>
        <w:tc>
          <w:tcPr>
            <w:tcW w:w="14542" w:type="dxa"/>
            <w:gridSpan w:val="8"/>
            <w:tcBorders>
              <w:top w:val="single" w:color="000000" w:sz="4" w:space="0"/>
              <w:left w:val="single" w:color="000000" w:sz="4" w:space="0"/>
              <w:bottom w:val="single" w:color="000000" w:sz="4" w:space="0"/>
              <w:right w:val="single" w:color="000000" w:sz="4" w:space="0"/>
            </w:tcBorders>
            <w:noWrap/>
            <w:vAlign w:val="center"/>
          </w:tcPr>
          <w:p w14:paraId="1BDAADB3">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b/>
                <w:bCs/>
                <w:color w:val="auto"/>
                <w:sz w:val="21"/>
                <w:szCs w:val="21"/>
                <w:highlight w:val="none"/>
                <w:lang w:val="en-US" w:eastAsia="zh-CN"/>
              </w:rPr>
              <w:t>二、大数据学院1501与3507实训室改建</w:t>
            </w:r>
          </w:p>
        </w:tc>
      </w:tr>
      <w:tr w14:paraId="3F9531CB">
        <w:tblPrEx>
          <w:tblCellMar>
            <w:top w:w="0" w:type="dxa"/>
            <w:left w:w="108" w:type="dxa"/>
            <w:bottom w:w="0" w:type="dxa"/>
            <w:right w:w="108" w:type="dxa"/>
          </w:tblCellMar>
        </w:tblPrEx>
        <w:trPr>
          <w:trHeight w:val="522" w:hRule="atLeast"/>
          <w:jc w:val="center"/>
        </w:trPr>
        <w:tc>
          <w:tcPr>
            <w:tcW w:w="647" w:type="dxa"/>
            <w:tcBorders>
              <w:top w:val="single" w:color="000000" w:sz="4" w:space="0"/>
              <w:left w:val="single" w:color="000000" w:sz="4" w:space="0"/>
              <w:bottom w:val="single" w:color="000000" w:sz="4" w:space="0"/>
              <w:right w:val="single" w:color="000000" w:sz="4" w:space="0"/>
            </w:tcBorders>
            <w:noWrap/>
            <w:vAlign w:val="center"/>
          </w:tcPr>
          <w:p w14:paraId="298A72FB">
            <w:pPr>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bidi="ar"/>
              </w:rPr>
              <w:t>序号</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44037E29">
            <w:pPr>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bidi="ar"/>
              </w:rPr>
              <w:t>产品名称</w:t>
            </w:r>
          </w:p>
        </w:tc>
        <w:tc>
          <w:tcPr>
            <w:tcW w:w="6480" w:type="dxa"/>
            <w:tcBorders>
              <w:top w:val="single" w:color="000000" w:sz="4" w:space="0"/>
              <w:left w:val="single" w:color="000000" w:sz="4" w:space="0"/>
              <w:bottom w:val="single" w:color="000000" w:sz="4" w:space="0"/>
              <w:right w:val="single" w:color="000000" w:sz="4" w:space="0"/>
            </w:tcBorders>
            <w:noWrap w:val="0"/>
            <w:vAlign w:val="center"/>
          </w:tcPr>
          <w:p w14:paraId="44B91041">
            <w:pPr>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bidi="ar"/>
              </w:rPr>
              <w:t>参数</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3C16284B">
            <w:pPr>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bidi="ar"/>
              </w:rPr>
              <w:t>数量</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1AC8AE2A">
            <w:pPr>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bidi="ar"/>
              </w:rPr>
              <w:t>单位</w:t>
            </w:r>
          </w:p>
        </w:tc>
        <w:tc>
          <w:tcPr>
            <w:tcW w:w="1357" w:type="dxa"/>
            <w:tcBorders>
              <w:top w:val="single" w:color="000000" w:sz="4" w:space="0"/>
              <w:left w:val="single" w:color="000000" w:sz="4" w:space="0"/>
              <w:bottom w:val="single" w:color="000000" w:sz="4" w:space="0"/>
              <w:right w:val="single" w:color="auto" w:sz="4" w:space="0"/>
            </w:tcBorders>
            <w:noWrap w:val="0"/>
            <w:vAlign w:val="center"/>
          </w:tcPr>
          <w:p w14:paraId="1F305CFE">
            <w:pPr>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单价报价（元）</w:t>
            </w:r>
          </w:p>
        </w:tc>
        <w:tc>
          <w:tcPr>
            <w:tcW w:w="1241" w:type="dxa"/>
            <w:tcBorders>
              <w:top w:val="single" w:color="000000" w:sz="4" w:space="0"/>
              <w:left w:val="single" w:color="auto" w:sz="4" w:space="0"/>
              <w:bottom w:val="single" w:color="000000" w:sz="4" w:space="0"/>
              <w:right w:val="single" w:color="auto" w:sz="4" w:space="0"/>
            </w:tcBorders>
            <w:noWrap w:val="0"/>
            <w:vAlign w:val="center"/>
          </w:tcPr>
          <w:p w14:paraId="075D4021">
            <w:pPr>
              <w:jc w:val="center"/>
              <w:textAlignment w:val="center"/>
              <w:rPr>
                <w:rFonts w:hint="eastAsia" w:ascii="宋体" w:hAnsi="宋体" w:eastAsia="宋体" w:cs="宋体"/>
                <w:b/>
                <w:bCs/>
                <w:color w:val="auto"/>
                <w:sz w:val="21"/>
                <w:szCs w:val="21"/>
                <w:highlight w:val="none"/>
                <w:lang w:bidi="ar"/>
              </w:rPr>
            </w:pPr>
            <w:r>
              <w:rPr>
                <w:rFonts w:hint="eastAsia" w:ascii="宋体" w:hAnsi="宋体" w:eastAsia="宋体" w:cs="宋体"/>
                <w:b/>
                <w:bCs/>
                <w:color w:val="auto"/>
                <w:sz w:val="21"/>
                <w:szCs w:val="21"/>
                <w:highlight w:val="none"/>
                <w:lang w:val="en-US" w:eastAsia="zh-CN" w:bidi="ar"/>
              </w:rPr>
              <w:t>合计（元）</w:t>
            </w:r>
          </w:p>
        </w:tc>
        <w:tc>
          <w:tcPr>
            <w:tcW w:w="1763" w:type="dxa"/>
            <w:tcBorders>
              <w:top w:val="single" w:color="000000" w:sz="4" w:space="0"/>
              <w:left w:val="single" w:color="auto" w:sz="4" w:space="0"/>
              <w:bottom w:val="single" w:color="000000" w:sz="4" w:space="0"/>
              <w:right w:val="single" w:color="000000" w:sz="4" w:space="0"/>
            </w:tcBorders>
            <w:noWrap w:val="0"/>
            <w:vAlign w:val="center"/>
          </w:tcPr>
          <w:p w14:paraId="48A934E6">
            <w:pPr>
              <w:jc w:val="center"/>
              <w:textAlignment w:val="center"/>
              <w:rPr>
                <w:rFonts w:hint="eastAsia" w:ascii="宋体" w:hAnsi="宋体" w:eastAsia="宋体" w:cs="宋体"/>
                <w:b/>
                <w:bCs/>
                <w:color w:val="auto"/>
                <w:sz w:val="21"/>
                <w:szCs w:val="21"/>
                <w:highlight w:val="none"/>
                <w:lang w:val="en-US" w:eastAsia="zh-CN" w:bidi="ar"/>
              </w:rPr>
            </w:pPr>
            <w:r>
              <w:rPr>
                <w:rFonts w:hint="eastAsia" w:ascii="宋体" w:hAnsi="宋体" w:eastAsia="宋体" w:cs="宋体"/>
                <w:b/>
                <w:bCs/>
                <w:color w:val="auto"/>
                <w:sz w:val="21"/>
                <w:szCs w:val="21"/>
                <w:highlight w:val="none"/>
                <w:lang w:val="en-US" w:eastAsia="zh-CN" w:bidi="ar"/>
              </w:rPr>
              <w:t>品牌</w:t>
            </w:r>
          </w:p>
        </w:tc>
      </w:tr>
      <w:tr w14:paraId="691E4593">
        <w:tblPrEx>
          <w:tblCellMar>
            <w:top w:w="0" w:type="dxa"/>
            <w:left w:w="108" w:type="dxa"/>
            <w:bottom w:w="0" w:type="dxa"/>
            <w:right w:w="108" w:type="dxa"/>
          </w:tblCellMar>
        </w:tblPrEx>
        <w:trPr>
          <w:trHeight w:val="522" w:hRule="atLeast"/>
          <w:jc w:val="center"/>
        </w:trPr>
        <w:tc>
          <w:tcPr>
            <w:tcW w:w="14542" w:type="dxa"/>
            <w:gridSpan w:val="8"/>
            <w:tcBorders>
              <w:top w:val="single" w:color="000000" w:sz="4" w:space="0"/>
              <w:left w:val="single" w:color="000000" w:sz="4" w:space="0"/>
              <w:bottom w:val="single" w:color="000000" w:sz="4" w:space="0"/>
              <w:right w:val="single" w:color="000000" w:sz="4" w:space="0"/>
            </w:tcBorders>
            <w:noWrap/>
            <w:vAlign w:val="center"/>
          </w:tcPr>
          <w:p w14:paraId="34D32289">
            <w:pPr>
              <w:jc w:val="both"/>
              <w:textAlignment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lang w:eastAsia="zh-CN" w:bidi="ar"/>
              </w:rPr>
              <w:t>（</w:t>
            </w:r>
            <w:r>
              <w:rPr>
                <w:rFonts w:hint="eastAsia" w:ascii="宋体" w:hAnsi="宋体" w:eastAsia="宋体" w:cs="宋体"/>
                <w:b/>
                <w:bCs/>
                <w:color w:val="auto"/>
                <w:sz w:val="18"/>
                <w:szCs w:val="18"/>
                <w:highlight w:val="none"/>
                <w:lang w:val="en-US" w:eastAsia="zh-CN" w:bidi="ar"/>
              </w:rPr>
              <w:t>一</w:t>
            </w:r>
            <w:r>
              <w:rPr>
                <w:rFonts w:hint="eastAsia" w:ascii="宋体" w:hAnsi="宋体" w:eastAsia="宋体" w:cs="宋体"/>
                <w:b/>
                <w:bCs/>
                <w:color w:val="auto"/>
                <w:sz w:val="18"/>
                <w:szCs w:val="18"/>
                <w:highlight w:val="none"/>
                <w:lang w:eastAsia="zh-CN" w:bidi="ar"/>
              </w:rPr>
              <w:t>）</w:t>
            </w:r>
            <w:r>
              <w:rPr>
                <w:rFonts w:hint="eastAsia" w:ascii="宋体" w:hAnsi="宋体" w:eastAsia="宋体" w:cs="宋体"/>
                <w:b/>
                <w:bCs/>
                <w:color w:val="auto"/>
                <w:sz w:val="18"/>
                <w:szCs w:val="18"/>
                <w:highlight w:val="none"/>
                <w:lang w:bidi="ar"/>
              </w:rPr>
              <w:t>专业资源制作实训室设备清单</w:t>
            </w:r>
          </w:p>
        </w:tc>
      </w:tr>
      <w:tr w14:paraId="6149DEE5">
        <w:tblPrEx>
          <w:tblCellMar>
            <w:top w:w="0" w:type="dxa"/>
            <w:left w:w="108" w:type="dxa"/>
            <w:bottom w:w="0" w:type="dxa"/>
            <w:right w:w="108" w:type="dxa"/>
          </w:tblCellMar>
        </w:tblPrEx>
        <w:trPr>
          <w:trHeight w:val="415" w:hRule="atLeast"/>
          <w:jc w:val="center"/>
        </w:trPr>
        <w:tc>
          <w:tcPr>
            <w:tcW w:w="647" w:type="dxa"/>
            <w:vMerge w:val="restart"/>
            <w:tcBorders>
              <w:top w:val="single" w:color="000000" w:sz="4" w:space="0"/>
              <w:left w:val="single" w:color="000000" w:sz="4" w:space="0"/>
              <w:right w:val="single" w:color="000000" w:sz="4" w:space="0"/>
            </w:tcBorders>
            <w:noWrap/>
            <w:vAlign w:val="center"/>
          </w:tcPr>
          <w:p w14:paraId="41AB9809">
            <w:pPr>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1</w:t>
            </w:r>
          </w:p>
        </w:tc>
        <w:tc>
          <w:tcPr>
            <w:tcW w:w="1549" w:type="dxa"/>
            <w:vMerge w:val="restart"/>
            <w:tcBorders>
              <w:top w:val="single" w:color="000000" w:sz="4" w:space="0"/>
              <w:left w:val="single" w:color="000000" w:sz="4" w:space="0"/>
              <w:right w:val="single" w:color="000000" w:sz="4" w:space="0"/>
            </w:tcBorders>
            <w:noWrap/>
            <w:vAlign w:val="center"/>
          </w:tcPr>
          <w:p w14:paraId="46C361A1">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台式电脑</w:t>
            </w:r>
          </w:p>
        </w:tc>
        <w:tc>
          <w:tcPr>
            <w:tcW w:w="6480" w:type="dxa"/>
            <w:tcBorders>
              <w:top w:val="single" w:color="000000" w:sz="4" w:space="0"/>
              <w:left w:val="single" w:color="000000" w:sz="4" w:space="0"/>
              <w:bottom w:val="single" w:color="auto" w:sz="4" w:space="0"/>
              <w:right w:val="single" w:color="000000" w:sz="4" w:space="0"/>
            </w:tcBorders>
            <w:noWrap w:val="0"/>
            <w:vAlign w:val="center"/>
          </w:tcPr>
          <w:p w14:paraId="4C40FC18">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1、CPU Intel 酷睿i5十二代或以上，主频≥2.5GHz或以上，六核十二线程，三级缓存≥18MB；</w:t>
            </w:r>
          </w:p>
        </w:tc>
        <w:tc>
          <w:tcPr>
            <w:tcW w:w="731" w:type="dxa"/>
            <w:vMerge w:val="restart"/>
            <w:tcBorders>
              <w:top w:val="single" w:color="000000" w:sz="4" w:space="0"/>
              <w:left w:val="single" w:color="000000" w:sz="4" w:space="0"/>
              <w:right w:val="single" w:color="000000" w:sz="4" w:space="0"/>
            </w:tcBorders>
            <w:noWrap/>
            <w:vAlign w:val="center"/>
          </w:tcPr>
          <w:p w14:paraId="23F8AC40">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120</w:t>
            </w:r>
          </w:p>
        </w:tc>
        <w:tc>
          <w:tcPr>
            <w:tcW w:w="774" w:type="dxa"/>
            <w:vMerge w:val="restart"/>
            <w:tcBorders>
              <w:top w:val="single" w:color="000000" w:sz="4" w:space="0"/>
              <w:left w:val="single" w:color="000000" w:sz="4" w:space="0"/>
              <w:right w:val="single" w:color="000000" w:sz="4" w:space="0"/>
            </w:tcBorders>
            <w:noWrap/>
            <w:vAlign w:val="center"/>
          </w:tcPr>
          <w:p w14:paraId="668F12EF">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台</w:t>
            </w:r>
          </w:p>
        </w:tc>
        <w:tc>
          <w:tcPr>
            <w:tcW w:w="1357" w:type="dxa"/>
            <w:tcBorders>
              <w:top w:val="single" w:color="000000" w:sz="4" w:space="0"/>
              <w:left w:val="single" w:color="000000" w:sz="4" w:space="0"/>
              <w:bottom w:val="single" w:color="auto" w:sz="4" w:space="0"/>
              <w:right w:val="single" w:color="auto" w:sz="4" w:space="0"/>
            </w:tcBorders>
            <w:noWrap w:val="0"/>
            <w:vAlign w:val="center"/>
          </w:tcPr>
          <w:p w14:paraId="385800EB">
            <w:pPr>
              <w:rPr>
                <w:rFonts w:hint="eastAsia" w:ascii="宋体" w:hAnsi="宋体" w:eastAsia="宋体" w:cs="宋体"/>
                <w:color w:val="auto"/>
                <w:sz w:val="22"/>
                <w:szCs w:val="22"/>
                <w:highlight w:val="none"/>
              </w:rPr>
            </w:pPr>
          </w:p>
        </w:tc>
        <w:tc>
          <w:tcPr>
            <w:tcW w:w="1241" w:type="dxa"/>
            <w:vMerge w:val="restart"/>
            <w:tcBorders>
              <w:top w:val="single" w:color="000000" w:sz="4" w:space="0"/>
              <w:left w:val="single" w:color="auto" w:sz="4" w:space="0"/>
              <w:right w:val="single" w:color="auto" w:sz="4" w:space="0"/>
            </w:tcBorders>
            <w:noWrap w:val="0"/>
            <w:vAlign w:val="center"/>
          </w:tcPr>
          <w:p w14:paraId="1E0FD3D5">
            <w:pPr>
              <w:rPr>
                <w:rFonts w:hint="eastAsia" w:ascii="宋体" w:hAnsi="宋体" w:eastAsia="宋体" w:cs="宋体"/>
                <w:color w:val="auto"/>
                <w:sz w:val="22"/>
                <w:szCs w:val="22"/>
                <w:highlight w:val="none"/>
              </w:rPr>
            </w:pPr>
          </w:p>
        </w:tc>
        <w:tc>
          <w:tcPr>
            <w:tcW w:w="1763" w:type="dxa"/>
            <w:tcBorders>
              <w:top w:val="single" w:color="auto" w:sz="4" w:space="0"/>
              <w:left w:val="single" w:color="auto" w:sz="4" w:space="0"/>
              <w:bottom w:val="single" w:color="auto" w:sz="4" w:space="0"/>
              <w:right w:val="single" w:color="auto" w:sz="4" w:space="0"/>
            </w:tcBorders>
            <w:noWrap w:val="0"/>
            <w:vAlign w:val="center"/>
          </w:tcPr>
          <w:p w14:paraId="17D902EA">
            <w:pPr>
              <w:rPr>
                <w:rFonts w:hint="eastAsia" w:ascii="宋体" w:hAnsi="宋体" w:eastAsia="宋体" w:cs="宋体"/>
                <w:color w:val="auto"/>
                <w:sz w:val="22"/>
                <w:szCs w:val="22"/>
                <w:highlight w:val="none"/>
              </w:rPr>
            </w:pPr>
          </w:p>
        </w:tc>
      </w:tr>
      <w:tr w14:paraId="5AE8AC08">
        <w:tblPrEx>
          <w:tblCellMar>
            <w:top w:w="0" w:type="dxa"/>
            <w:left w:w="108" w:type="dxa"/>
            <w:bottom w:w="0" w:type="dxa"/>
            <w:right w:w="108" w:type="dxa"/>
          </w:tblCellMar>
        </w:tblPrEx>
        <w:trPr>
          <w:trHeight w:val="515" w:hRule="atLeast"/>
          <w:jc w:val="center"/>
        </w:trPr>
        <w:tc>
          <w:tcPr>
            <w:tcW w:w="647" w:type="dxa"/>
            <w:vMerge w:val="continue"/>
            <w:tcBorders>
              <w:left w:val="single" w:color="000000" w:sz="4" w:space="0"/>
              <w:bottom w:val="single" w:color="000000" w:sz="4" w:space="0"/>
              <w:right w:val="single" w:color="000000" w:sz="4" w:space="0"/>
            </w:tcBorders>
            <w:noWrap/>
            <w:vAlign w:val="center"/>
          </w:tcPr>
          <w:p w14:paraId="67C87725">
            <w:pPr>
              <w:jc w:val="center"/>
              <w:textAlignment w:val="center"/>
              <w:rPr>
                <w:rFonts w:hint="eastAsia" w:ascii="宋体" w:hAnsi="宋体" w:eastAsia="宋体" w:cs="宋体"/>
                <w:color w:val="auto"/>
                <w:sz w:val="18"/>
                <w:szCs w:val="18"/>
                <w:highlight w:val="none"/>
                <w:lang w:bidi="ar"/>
              </w:rPr>
            </w:pPr>
          </w:p>
        </w:tc>
        <w:tc>
          <w:tcPr>
            <w:tcW w:w="1549" w:type="dxa"/>
            <w:vMerge w:val="continue"/>
            <w:tcBorders>
              <w:left w:val="single" w:color="000000" w:sz="4" w:space="0"/>
              <w:bottom w:val="single" w:color="000000" w:sz="4" w:space="0"/>
              <w:right w:val="single" w:color="000000" w:sz="4" w:space="0"/>
            </w:tcBorders>
            <w:noWrap/>
            <w:vAlign w:val="center"/>
          </w:tcPr>
          <w:p w14:paraId="1E4D5599">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6480" w:type="dxa"/>
            <w:tcBorders>
              <w:top w:val="single" w:color="auto" w:sz="4" w:space="0"/>
              <w:left w:val="single" w:color="000000" w:sz="4" w:space="0"/>
              <w:bottom w:val="single" w:color="auto" w:sz="4" w:space="0"/>
              <w:right w:val="single" w:color="000000" w:sz="4" w:space="0"/>
            </w:tcBorders>
            <w:noWrap w:val="0"/>
            <w:vAlign w:val="center"/>
          </w:tcPr>
          <w:p w14:paraId="680595A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2、主板 ≥Intel B660M芯片组， MATX 主板，插槽2*PCI-E 1X，1*PCI-E 16X ，2*M.2， 1*COM插针；</w:t>
            </w:r>
          </w:p>
        </w:tc>
        <w:tc>
          <w:tcPr>
            <w:tcW w:w="731" w:type="dxa"/>
            <w:vMerge w:val="continue"/>
            <w:tcBorders>
              <w:left w:val="single" w:color="000000" w:sz="4" w:space="0"/>
              <w:bottom w:val="single" w:color="000000" w:sz="4" w:space="0"/>
              <w:right w:val="single" w:color="000000" w:sz="4" w:space="0"/>
            </w:tcBorders>
            <w:noWrap/>
            <w:vAlign w:val="center"/>
          </w:tcPr>
          <w:p w14:paraId="08B2079A">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774" w:type="dxa"/>
            <w:vMerge w:val="continue"/>
            <w:tcBorders>
              <w:left w:val="single" w:color="000000" w:sz="4" w:space="0"/>
              <w:bottom w:val="single" w:color="000000" w:sz="4" w:space="0"/>
              <w:right w:val="single" w:color="000000" w:sz="4" w:space="0"/>
            </w:tcBorders>
            <w:noWrap/>
            <w:vAlign w:val="center"/>
          </w:tcPr>
          <w:p w14:paraId="5BA13395">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1357" w:type="dxa"/>
            <w:tcBorders>
              <w:top w:val="single" w:color="auto" w:sz="4" w:space="0"/>
              <w:left w:val="single" w:color="000000" w:sz="4" w:space="0"/>
              <w:bottom w:val="single" w:color="auto" w:sz="4" w:space="0"/>
              <w:right w:val="single" w:color="auto" w:sz="4" w:space="0"/>
            </w:tcBorders>
            <w:noWrap w:val="0"/>
            <w:vAlign w:val="center"/>
          </w:tcPr>
          <w:p w14:paraId="1A7E1926">
            <w:pPr>
              <w:rPr>
                <w:rFonts w:hint="eastAsia" w:ascii="宋体" w:hAnsi="宋体" w:eastAsia="宋体" w:cs="宋体"/>
                <w:color w:val="auto"/>
                <w:sz w:val="22"/>
                <w:szCs w:val="22"/>
                <w:highlight w:val="none"/>
              </w:rPr>
            </w:pPr>
          </w:p>
        </w:tc>
        <w:tc>
          <w:tcPr>
            <w:tcW w:w="1241" w:type="dxa"/>
            <w:vMerge w:val="continue"/>
            <w:tcBorders>
              <w:left w:val="single" w:color="auto" w:sz="4" w:space="0"/>
              <w:bottom w:val="single" w:color="000000" w:sz="4" w:space="0"/>
              <w:right w:val="single" w:color="auto" w:sz="4" w:space="0"/>
            </w:tcBorders>
            <w:noWrap w:val="0"/>
            <w:vAlign w:val="center"/>
          </w:tcPr>
          <w:p w14:paraId="3072A624">
            <w:pPr>
              <w:rPr>
                <w:rFonts w:hint="eastAsia" w:ascii="宋体" w:hAnsi="宋体" w:eastAsia="宋体" w:cs="宋体"/>
                <w:color w:val="auto"/>
                <w:sz w:val="22"/>
                <w:szCs w:val="22"/>
                <w:highlight w:val="none"/>
              </w:rPr>
            </w:pPr>
          </w:p>
        </w:tc>
        <w:tc>
          <w:tcPr>
            <w:tcW w:w="1763" w:type="dxa"/>
            <w:tcBorders>
              <w:top w:val="single" w:color="auto" w:sz="4" w:space="0"/>
              <w:left w:val="single" w:color="auto" w:sz="4" w:space="0"/>
              <w:bottom w:val="single" w:color="auto" w:sz="4" w:space="0"/>
              <w:right w:val="single" w:color="auto" w:sz="4" w:space="0"/>
            </w:tcBorders>
            <w:noWrap w:val="0"/>
            <w:vAlign w:val="center"/>
          </w:tcPr>
          <w:p w14:paraId="0A916F7F">
            <w:pPr>
              <w:rPr>
                <w:rFonts w:hint="eastAsia" w:ascii="宋体" w:hAnsi="宋体" w:eastAsia="宋体" w:cs="宋体"/>
                <w:color w:val="auto"/>
                <w:sz w:val="22"/>
                <w:szCs w:val="22"/>
                <w:highlight w:val="none"/>
              </w:rPr>
            </w:pPr>
          </w:p>
        </w:tc>
      </w:tr>
      <w:tr w14:paraId="154C0F7B">
        <w:tblPrEx>
          <w:tblCellMar>
            <w:top w:w="0" w:type="dxa"/>
            <w:left w:w="108" w:type="dxa"/>
            <w:bottom w:w="0" w:type="dxa"/>
            <w:right w:w="108" w:type="dxa"/>
          </w:tblCellMar>
        </w:tblPrEx>
        <w:trPr>
          <w:trHeight w:val="477" w:hRule="atLeast"/>
          <w:jc w:val="center"/>
        </w:trPr>
        <w:tc>
          <w:tcPr>
            <w:tcW w:w="647" w:type="dxa"/>
            <w:vMerge w:val="continue"/>
            <w:tcBorders>
              <w:left w:val="single" w:color="000000" w:sz="4" w:space="0"/>
              <w:bottom w:val="single" w:color="000000" w:sz="4" w:space="0"/>
              <w:right w:val="single" w:color="000000" w:sz="4" w:space="0"/>
            </w:tcBorders>
            <w:noWrap/>
            <w:vAlign w:val="center"/>
          </w:tcPr>
          <w:p w14:paraId="41092B09">
            <w:pPr>
              <w:jc w:val="center"/>
              <w:textAlignment w:val="center"/>
              <w:rPr>
                <w:rFonts w:hint="eastAsia" w:ascii="宋体" w:hAnsi="宋体" w:eastAsia="宋体" w:cs="宋体"/>
                <w:color w:val="auto"/>
                <w:sz w:val="18"/>
                <w:szCs w:val="18"/>
                <w:highlight w:val="none"/>
                <w:lang w:bidi="ar"/>
              </w:rPr>
            </w:pPr>
          </w:p>
        </w:tc>
        <w:tc>
          <w:tcPr>
            <w:tcW w:w="1549" w:type="dxa"/>
            <w:vMerge w:val="continue"/>
            <w:tcBorders>
              <w:left w:val="single" w:color="000000" w:sz="4" w:space="0"/>
              <w:bottom w:val="single" w:color="000000" w:sz="4" w:space="0"/>
              <w:right w:val="single" w:color="000000" w:sz="4" w:space="0"/>
            </w:tcBorders>
            <w:noWrap/>
            <w:vAlign w:val="center"/>
          </w:tcPr>
          <w:p w14:paraId="0778FFCD">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6480" w:type="dxa"/>
            <w:tcBorders>
              <w:top w:val="single" w:color="auto" w:sz="4" w:space="0"/>
              <w:left w:val="single" w:color="000000" w:sz="4" w:space="0"/>
              <w:bottom w:val="single" w:color="auto" w:sz="4" w:space="0"/>
              <w:right w:val="single" w:color="000000" w:sz="4" w:space="0"/>
            </w:tcBorders>
            <w:noWrap w:val="0"/>
            <w:vAlign w:val="center"/>
          </w:tcPr>
          <w:p w14:paraId="5D6E21DC">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3、内存 ≥32GB DDR4 3200，内存插槽数≥2，最大支持64GB；</w:t>
            </w:r>
          </w:p>
        </w:tc>
        <w:tc>
          <w:tcPr>
            <w:tcW w:w="731" w:type="dxa"/>
            <w:vMerge w:val="continue"/>
            <w:tcBorders>
              <w:left w:val="single" w:color="000000" w:sz="4" w:space="0"/>
              <w:bottom w:val="single" w:color="000000" w:sz="4" w:space="0"/>
              <w:right w:val="single" w:color="000000" w:sz="4" w:space="0"/>
            </w:tcBorders>
            <w:noWrap/>
            <w:vAlign w:val="center"/>
          </w:tcPr>
          <w:p w14:paraId="72B273FB">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774" w:type="dxa"/>
            <w:vMerge w:val="continue"/>
            <w:tcBorders>
              <w:left w:val="single" w:color="000000" w:sz="4" w:space="0"/>
              <w:bottom w:val="single" w:color="000000" w:sz="4" w:space="0"/>
              <w:right w:val="single" w:color="000000" w:sz="4" w:space="0"/>
            </w:tcBorders>
            <w:noWrap/>
            <w:vAlign w:val="center"/>
          </w:tcPr>
          <w:p w14:paraId="680DEFAA">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1357" w:type="dxa"/>
            <w:tcBorders>
              <w:top w:val="single" w:color="auto" w:sz="4" w:space="0"/>
              <w:left w:val="single" w:color="000000" w:sz="4" w:space="0"/>
              <w:bottom w:val="single" w:color="auto" w:sz="4" w:space="0"/>
              <w:right w:val="single" w:color="auto" w:sz="4" w:space="0"/>
            </w:tcBorders>
            <w:noWrap w:val="0"/>
            <w:vAlign w:val="center"/>
          </w:tcPr>
          <w:p w14:paraId="7A50CCB8">
            <w:pPr>
              <w:rPr>
                <w:rFonts w:hint="eastAsia" w:ascii="宋体" w:hAnsi="宋体" w:eastAsia="宋体" w:cs="宋体"/>
                <w:color w:val="auto"/>
                <w:sz w:val="22"/>
                <w:szCs w:val="22"/>
                <w:highlight w:val="none"/>
              </w:rPr>
            </w:pPr>
          </w:p>
        </w:tc>
        <w:tc>
          <w:tcPr>
            <w:tcW w:w="1241" w:type="dxa"/>
            <w:vMerge w:val="continue"/>
            <w:tcBorders>
              <w:left w:val="single" w:color="auto" w:sz="4" w:space="0"/>
              <w:bottom w:val="single" w:color="000000" w:sz="4" w:space="0"/>
              <w:right w:val="single" w:color="auto" w:sz="4" w:space="0"/>
            </w:tcBorders>
            <w:noWrap w:val="0"/>
            <w:vAlign w:val="center"/>
          </w:tcPr>
          <w:p w14:paraId="791D7EE3">
            <w:pPr>
              <w:rPr>
                <w:rFonts w:hint="eastAsia" w:ascii="宋体" w:hAnsi="宋体" w:eastAsia="宋体" w:cs="宋体"/>
                <w:color w:val="auto"/>
                <w:sz w:val="22"/>
                <w:szCs w:val="22"/>
                <w:highlight w:val="none"/>
              </w:rPr>
            </w:pPr>
          </w:p>
        </w:tc>
        <w:tc>
          <w:tcPr>
            <w:tcW w:w="1763" w:type="dxa"/>
            <w:tcBorders>
              <w:top w:val="single" w:color="auto" w:sz="4" w:space="0"/>
              <w:left w:val="single" w:color="auto" w:sz="4" w:space="0"/>
              <w:bottom w:val="single" w:color="auto" w:sz="4" w:space="0"/>
              <w:right w:val="single" w:color="auto" w:sz="4" w:space="0"/>
            </w:tcBorders>
            <w:noWrap w:val="0"/>
            <w:vAlign w:val="center"/>
          </w:tcPr>
          <w:p w14:paraId="74048AF9">
            <w:pPr>
              <w:rPr>
                <w:rFonts w:hint="eastAsia" w:ascii="宋体" w:hAnsi="宋体" w:eastAsia="宋体" w:cs="宋体"/>
                <w:color w:val="auto"/>
                <w:sz w:val="22"/>
                <w:szCs w:val="22"/>
                <w:highlight w:val="none"/>
              </w:rPr>
            </w:pPr>
          </w:p>
        </w:tc>
      </w:tr>
      <w:tr w14:paraId="509E0FA8">
        <w:tblPrEx>
          <w:tblCellMar>
            <w:top w:w="0" w:type="dxa"/>
            <w:left w:w="108" w:type="dxa"/>
            <w:bottom w:w="0" w:type="dxa"/>
            <w:right w:w="108" w:type="dxa"/>
          </w:tblCellMar>
        </w:tblPrEx>
        <w:trPr>
          <w:trHeight w:val="440" w:hRule="atLeast"/>
          <w:jc w:val="center"/>
        </w:trPr>
        <w:tc>
          <w:tcPr>
            <w:tcW w:w="647" w:type="dxa"/>
            <w:vMerge w:val="continue"/>
            <w:tcBorders>
              <w:left w:val="single" w:color="000000" w:sz="4" w:space="0"/>
              <w:bottom w:val="single" w:color="000000" w:sz="4" w:space="0"/>
              <w:right w:val="single" w:color="000000" w:sz="4" w:space="0"/>
            </w:tcBorders>
            <w:noWrap/>
            <w:vAlign w:val="center"/>
          </w:tcPr>
          <w:p w14:paraId="6C3207F7">
            <w:pPr>
              <w:jc w:val="center"/>
              <w:textAlignment w:val="center"/>
              <w:rPr>
                <w:rFonts w:hint="eastAsia" w:ascii="宋体" w:hAnsi="宋体" w:eastAsia="宋体" w:cs="宋体"/>
                <w:color w:val="auto"/>
                <w:sz w:val="18"/>
                <w:szCs w:val="18"/>
                <w:highlight w:val="none"/>
                <w:lang w:bidi="ar"/>
              </w:rPr>
            </w:pPr>
          </w:p>
        </w:tc>
        <w:tc>
          <w:tcPr>
            <w:tcW w:w="1549" w:type="dxa"/>
            <w:vMerge w:val="continue"/>
            <w:tcBorders>
              <w:left w:val="single" w:color="000000" w:sz="4" w:space="0"/>
              <w:bottom w:val="single" w:color="000000" w:sz="4" w:space="0"/>
              <w:right w:val="single" w:color="000000" w:sz="4" w:space="0"/>
            </w:tcBorders>
            <w:noWrap/>
            <w:vAlign w:val="center"/>
          </w:tcPr>
          <w:p w14:paraId="4EA549B3">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6480" w:type="dxa"/>
            <w:tcBorders>
              <w:top w:val="single" w:color="auto" w:sz="4" w:space="0"/>
              <w:left w:val="single" w:color="000000" w:sz="4" w:space="0"/>
              <w:bottom w:val="single" w:color="auto" w:sz="4" w:space="0"/>
              <w:right w:val="single" w:color="000000" w:sz="4" w:space="0"/>
            </w:tcBorders>
            <w:noWrap w:val="0"/>
            <w:vAlign w:val="center"/>
          </w:tcPr>
          <w:p w14:paraId="4D78523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4、硬盘 ≥512G SSD NVME；</w:t>
            </w:r>
          </w:p>
        </w:tc>
        <w:tc>
          <w:tcPr>
            <w:tcW w:w="731" w:type="dxa"/>
            <w:vMerge w:val="continue"/>
            <w:tcBorders>
              <w:left w:val="single" w:color="000000" w:sz="4" w:space="0"/>
              <w:bottom w:val="single" w:color="000000" w:sz="4" w:space="0"/>
              <w:right w:val="single" w:color="000000" w:sz="4" w:space="0"/>
            </w:tcBorders>
            <w:noWrap/>
            <w:vAlign w:val="center"/>
          </w:tcPr>
          <w:p w14:paraId="02483EF3">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774" w:type="dxa"/>
            <w:vMerge w:val="continue"/>
            <w:tcBorders>
              <w:left w:val="single" w:color="000000" w:sz="4" w:space="0"/>
              <w:bottom w:val="single" w:color="000000" w:sz="4" w:space="0"/>
              <w:right w:val="single" w:color="000000" w:sz="4" w:space="0"/>
            </w:tcBorders>
            <w:noWrap/>
            <w:vAlign w:val="center"/>
          </w:tcPr>
          <w:p w14:paraId="359330F2">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1357" w:type="dxa"/>
            <w:tcBorders>
              <w:top w:val="single" w:color="auto" w:sz="4" w:space="0"/>
              <w:left w:val="single" w:color="000000" w:sz="4" w:space="0"/>
              <w:bottom w:val="single" w:color="auto" w:sz="4" w:space="0"/>
              <w:right w:val="single" w:color="auto" w:sz="4" w:space="0"/>
            </w:tcBorders>
            <w:noWrap w:val="0"/>
            <w:vAlign w:val="center"/>
          </w:tcPr>
          <w:p w14:paraId="4ED47E82">
            <w:pPr>
              <w:rPr>
                <w:rFonts w:hint="eastAsia" w:ascii="宋体" w:hAnsi="宋体" w:eastAsia="宋体" w:cs="宋体"/>
                <w:color w:val="auto"/>
                <w:sz w:val="22"/>
                <w:szCs w:val="22"/>
                <w:highlight w:val="none"/>
              </w:rPr>
            </w:pPr>
          </w:p>
        </w:tc>
        <w:tc>
          <w:tcPr>
            <w:tcW w:w="1241" w:type="dxa"/>
            <w:vMerge w:val="continue"/>
            <w:tcBorders>
              <w:left w:val="single" w:color="auto" w:sz="4" w:space="0"/>
              <w:bottom w:val="single" w:color="000000" w:sz="4" w:space="0"/>
              <w:right w:val="single" w:color="auto" w:sz="4" w:space="0"/>
            </w:tcBorders>
            <w:noWrap w:val="0"/>
            <w:vAlign w:val="center"/>
          </w:tcPr>
          <w:p w14:paraId="2DD0F433">
            <w:pPr>
              <w:rPr>
                <w:rFonts w:hint="eastAsia" w:ascii="宋体" w:hAnsi="宋体" w:eastAsia="宋体" w:cs="宋体"/>
                <w:color w:val="auto"/>
                <w:sz w:val="22"/>
                <w:szCs w:val="22"/>
                <w:highlight w:val="none"/>
              </w:rPr>
            </w:pPr>
          </w:p>
        </w:tc>
        <w:tc>
          <w:tcPr>
            <w:tcW w:w="1763" w:type="dxa"/>
            <w:tcBorders>
              <w:top w:val="single" w:color="auto" w:sz="4" w:space="0"/>
              <w:left w:val="single" w:color="auto" w:sz="4" w:space="0"/>
              <w:bottom w:val="single" w:color="auto" w:sz="4" w:space="0"/>
              <w:right w:val="single" w:color="auto" w:sz="4" w:space="0"/>
            </w:tcBorders>
            <w:noWrap w:val="0"/>
            <w:vAlign w:val="center"/>
          </w:tcPr>
          <w:p w14:paraId="7E39F1A8">
            <w:pPr>
              <w:rPr>
                <w:rFonts w:hint="eastAsia" w:ascii="宋体" w:hAnsi="宋体" w:eastAsia="宋体" w:cs="宋体"/>
                <w:color w:val="auto"/>
                <w:sz w:val="22"/>
                <w:szCs w:val="22"/>
                <w:highlight w:val="none"/>
              </w:rPr>
            </w:pPr>
          </w:p>
        </w:tc>
      </w:tr>
      <w:tr w14:paraId="654C820A">
        <w:tblPrEx>
          <w:tblCellMar>
            <w:top w:w="0" w:type="dxa"/>
            <w:left w:w="108" w:type="dxa"/>
            <w:bottom w:w="0" w:type="dxa"/>
            <w:right w:w="108" w:type="dxa"/>
          </w:tblCellMar>
        </w:tblPrEx>
        <w:trPr>
          <w:trHeight w:val="440" w:hRule="atLeast"/>
          <w:jc w:val="center"/>
        </w:trPr>
        <w:tc>
          <w:tcPr>
            <w:tcW w:w="647" w:type="dxa"/>
            <w:vMerge w:val="continue"/>
            <w:tcBorders>
              <w:left w:val="single" w:color="000000" w:sz="4" w:space="0"/>
              <w:bottom w:val="single" w:color="000000" w:sz="4" w:space="0"/>
              <w:right w:val="single" w:color="000000" w:sz="4" w:space="0"/>
            </w:tcBorders>
            <w:noWrap/>
            <w:vAlign w:val="center"/>
          </w:tcPr>
          <w:p w14:paraId="516F425C">
            <w:pPr>
              <w:jc w:val="center"/>
              <w:textAlignment w:val="center"/>
              <w:rPr>
                <w:rFonts w:hint="eastAsia" w:ascii="宋体" w:hAnsi="宋体" w:eastAsia="宋体" w:cs="宋体"/>
                <w:color w:val="auto"/>
                <w:sz w:val="18"/>
                <w:szCs w:val="18"/>
                <w:highlight w:val="none"/>
                <w:lang w:bidi="ar"/>
              </w:rPr>
            </w:pPr>
          </w:p>
        </w:tc>
        <w:tc>
          <w:tcPr>
            <w:tcW w:w="1549" w:type="dxa"/>
            <w:vMerge w:val="continue"/>
            <w:tcBorders>
              <w:left w:val="single" w:color="000000" w:sz="4" w:space="0"/>
              <w:bottom w:val="single" w:color="000000" w:sz="4" w:space="0"/>
              <w:right w:val="single" w:color="000000" w:sz="4" w:space="0"/>
            </w:tcBorders>
            <w:noWrap/>
            <w:vAlign w:val="center"/>
          </w:tcPr>
          <w:p w14:paraId="227ECBC7">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6480" w:type="dxa"/>
            <w:tcBorders>
              <w:top w:val="single" w:color="auto" w:sz="4" w:space="0"/>
              <w:left w:val="single" w:color="000000" w:sz="4" w:space="0"/>
              <w:bottom w:val="single" w:color="auto" w:sz="4" w:space="0"/>
              <w:right w:val="single" w:color="000000" w:sz="4" w:space="0"/>
            </w:tcBorders>
            <w:noWrap w:val="0"/>
            <w:vAlign w:val="center"/>
          </w:tcPr>
          <w:p w14:paraId="27236EC1">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 xml:space="preserve">5、显卡 ≥集成显卡 </w:t>
            </w:r>
          </w:p>
        </w:tc>
        <w:tc>
          <w:tcPr>
            <w:tcW w:w="731" w:type="dxa"/>
            <w:vMerge w:val="continue"/>
            <w:tcBorders>
              <w:left w:val="single" w:color="000000" w:sz="4" w:space="0"/>
              <w:bottom w:val="single" w:color="000000" w:sz="4" w:space="0"/>
              <w:right w:val="single" w:color="000000" w:sz="4" w:space="0"/>
            </w:tcBorders>
            <w:noWrap/>
            <w:vAlign w:val="center"/>
          </w:tcPr>
          <w:p w14:paraId="072587EE">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774" w:type="dxa"/>
            <w:vMerge w:val="continue"/>
            <w:tcBorders>
              <w:left w:val="single" w:color="000000" w:sz="4" w:space="0"/>
              <w:bottom w:val="single" w:color="000000" w:sz="4" w:space="0"/>
              <w:right w:val="single" w:color="000000" w:sz="4" w:space="0"/>
            </w:tcBorders>
            <w:noWrap/>
            <w:vAlign w:val="center"/>
          </w:tcPr>
          <w:p w14:paraId="71B14D7D">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1357" w:type="dxa"/>
            <w:tcBorders>
              <w:top w:val="single" w:color="auto" w:sz="4" w:space="0"/>
              <w:left w:val="single" w:color="000000" w:sz="4" w:space="0"/>
              <w:bottom w:val="single" w:color="auto" w:sz="4" w:space="0"/>
              <w:right w:val="single" w:color="auto" w:sz="4" w:space="0"/>
            </w:tcBorders>
            <w:noWrap w:val="0"/>
            <w:vAlign w:val="center"/>
          </w:tcPr>
          <w:p w14:paraId="763F805D">
            <w:pPr>
              <w:rPr>
                <w:rFonts w:hint="eastAsia" w:ascii="宋体" w:hAnsi="宋体" w:eastAsia="宋体" w:cs="宋体"/>
                <w:color w:val="auto"/>
                <w:sz w:val="22"/>
                <w:szCs w:val="22"/>
                <w:highlight w:val="none"/>
              </w:rPr>
            </w:pPr>
          </w:p>
        </w:tc>
        <w:tc>
          <w:tcPr>
            <w:tcW w:w="1241" w:type="dxa"/>
            <w:vMerge w:val="continue"/>
            <w:tcBorders>
              <w:left w:val="single" w:color="auto" w:sz="4" w:space="0"/>
              <w:bottom w:val="single" w:color="000000" w:sz="4" w:space="0"/>
              <w:right w:val="single" w:color="auto" w:sz="4" w:space="0"/>
            </w:tcBorders>
            <w:noWrap w:val="0"/>
            <w:vAlign w:val="center"/>
          </w:tcPr>
          <w:p w14:paraId="66442AF0">
            <w:pPr>
              <w:rPr>
                <w:rFonts w:hint="eastAsia" w:ascii="宋体" w:hAnsi="宋体" w:eastAsia="宋体" w:cs="宋体"/>
                <w:color w:val="auto"/>
                <w:sz w:val="22"/>
                <w:szCs w:val="22"/>
                <w:highlight w:val="none"/>
              </w:rPr>
            </w:pPr>
          </w:p>
        </w:tc>
        <w:tc>
          <w:tcPr>
            <w:tcW w:w="1763" w:type="dxa"/>
            <w:tcBorders>
              <w:top w:val="single" w:color="auto" w:sz="4" w:space="0"/>
              <w:left w:val="single" w:color="auto" w:sz="4" w:space="0"/>
              <w:bottom w:val="single" w:color="auto" w:sz="4" w:space="0"/>
              <w:right w:val="single" w:color="auto" w:sz="4" w:space="0"/>
            </w:tcBorders>
            <w:noWrap w:val="0"/>
            <w:vAlign w:val="center"/>
          </w:tcPr>
          <w:p w14:paraId="23EE05BF">
            <w:pPr>
              <w:rPr>
                <w:rFonts w:hint="eastAsia" w:ascii="宋体" w:hAnsi="宋体" w:eastAsia="宋体" w:cs="宋体"/>
                <w:color w:val="auto"/>
                <w:sz w:val="22"/>
                <w:szCs w:val="22"/>
                <w:highlight w:val="none"/>
              </w:rPr>
            </w:pPr>
          </w:p>
        </w:tc>
      </w:tr>
      <w:tr w14:paraId="20E74327">
        <w:tblPrEx>
          <w:tblCellMar>
            <w:top w:w="0" w:type="dxa"/>
            <w:left w:w="108" w:type="dxa"/>
            <w:bottom w:w="0" w:type="dxa"/>
            <w:right w:w="108" w:type="dxa"/>
          </w:tblCellMar>
        </w:tblPrEx>
        <w:trPr>
          <w:trHeight w:val="390" w:hRule="atLeast"/>
          <w:jc w:val="center"/>
        </w:trPr>
        <w:tc>
          <w:tcPr>
            <w:tcW w:w="647" w:type="dxa"/>
            <w:vMerge w:val="continue"/>
            <w:tcBorders>
              <w:left w:val="single" w:color="000000" w:sz="4" w:space="0"/>
              <w:bottom w:val="single" w:color="000000" w:sz="4" w:space="0"/>
              <w:right w:val="single" w:color="000000" w:sz="4" w:space="0"/>
            </w:tcBorders>
            <w:noWrap/>
            <w:vAlign w:val="center"/>
          </w:tcPr>
          <w:p w14:paraId="400CA3CC">
            <w:pPr>
              <w:jc w:val="center"/>
              <w:textAlignment w:val="center"/>
              <w:rPr>
                <w:rFonts w:hint="eastAsia" w:ascii="宋体" w:hAnsi="宋体" w:eastAsia="宋体" w:cs="宋体"/>
                <w:color w:val="auto"/>
                <w:sz w:val="18"/>
                <w:szCs w:val="18"/>
                <w:highlight w:val="none"/>
                <w:lang w:bidi="ar"/>
              </w:rPr>
            </w:pPr>
          </w:p>
        </w:tc>
        <w:tc>
          <w:tcPr>
            <w:tcW w:w="1549" w:type="dxa"/>
            <w:vMerge w:val="continue"/>
            <w:tcBorders>
              <w:left w:val="single" w:color="000000" w:sz="4" w:space="0"/>
              <w:bottom w:val="single" w:color="000000" w:sz="4" w:space="0"/>
              <w:right w:val="single" w:color="000000" w:sz="4" w:space="0"/>
            </w:tcBorders>
            <w:noWrap/>
            <w:vAlign w:val="center"/>
          </w:tcPr>
          <w:p w14:paraId="07919584">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6480" w:type="dxa"/>
            <w:tcBorders>
              <w:top w:val="single" w:color="auto" w:sz="4" w:space="0"/>
              <w:left w:val="single" w:color="000000" w:sz="4" w:space="0"/>
              <w:bottom w:val="single" w:color="auto" w:sz="4" w:space="0"/>
              <w:right w:val="single" w:color="000000" w:sz="4" w:space="0"/>
            </w:tcBorders>
            <w:noWrap w:val="0"/>
            <w:vAlign w:val="center"/>
          </w:tcPr>
          <w:p w14:paraId="5C554B89">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6、网卡：板载千兆网卡；</w:t>
            </w:r>
          </w:p>
        </w:tc>
        <w:tc>
          <w:tcPr>
            <w:tcW w:w="731" w:type="dxa"/>
            <w:vMerge w:val="continue"/>
            <w:tcBorders>
              <w:left w:val="single" w:color="000000" w:sz="4" w:space="0"/>
              <w:bottom w:val="single" w:color="000000" w:sz="4" w:space="0"/>
              <w:right w:val="single" w:color="000000" w:sz="4" w:space="0"/>
            </w:tcBorders>
            <w:noWrap/>
            <w:vAlign w:val="center"/>
          </w:tcPr>
          <w:p w14:paraId="7E110CEE">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774" w:type="dxa"/>
            <w:vMerge w:val="continue"/>
            <w:tcBorders>
              <w:left w:val="single" w:color="000000" w:sz="4" w:space="0"/>
              <w:bottom w:val="single" w:color="000000" w:sz="4" w:space="0"/>
              <w:right w:val="single" w:color="000000" w:sz="4" w:space="0"/>
            </w:tcBorders>
            <w:noWrap/>
            <w:vAlign w:val="center"/>
          </w:tcPr>
          <w:p w14:paraId="1DA7A8C1">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1357" w:type="dxa"/>
            <w:tcBorders>
              <w:top w:val="single" w:color="auto" w:sz="4" w:space="0"/>
              <w:left w:val="single" w:color="000000" w:sz="4" w:space="0"/>
              <w:bottom w:val="single" w:color="auto" w:sz="4" w:space="0"/>
              <w:right w:val="single" w:color="auto" w:sz="4" w:space="0"/>
            </w:tcBorders>
            <w:noWrap w:val="0"/>
            <w:vAlign w:val="center"/>
          </w:tcPr>
          <w:p w14:paraId="39B2F4D7">
            <w:pPr>
              <w:rPr>
                <w:rFonts w:hint="eastAsia" w:ascii="宋体" w:hAnsi="宋体" w:eastAsia="宋体" w:cs="宋体"/>
                <w:color w:val="auto"/>
                <w:sz w:val="22"/>
                <w:szCs w:val="22"/>
                <w:highlight w:val="none"/>
              </w:rPr>
            </w:pPr>
          </w:p>
        </w:tc>
        <w:tc>
          <w:tcPr>
            <w:tcW w:w="1241" w:type="dxa"/>
            <w:vMerge w:val="continue"/>
            <w:tcBorders>
              <w:left w:val="single" w:color="auto" w:sz="4" w:space="0"/>
              <w:bottom w:val="single" w:color="000000" w:sz="4" w:space="0"/>
              <w:right w:val="single" w:color="auto" w:sz="4" w:space="0"/>
            </w:tcBorders>
            <w:noWrap w:val="0"/>
            <w:vAlign w:val="center"/>
          </w:tcPr>
          <w:p w14:paraId="352CB553">
            <w:pPr>
              <w:rPr>
                <w:rFonts w:hint="eastAsia" w:ascii="宋体" w:hAnsi="宋体" w:eastAsia="宋体" w:cs="宋体"/>
                <w:color w:val="auto"/>
                <w:sz w:val="22"/>
                <w:szCs w:val="22"/>
                <w:highlight w:val="none"/>
              </w:rPr>
            </w:pPr>
          </w:p>
        </w:tc>
        <w:tc>
          <w:tcPr>
            <w:tcW w:w="1763" w:type="dxa"/>
            <w:tcBorders>
              <w:top w:val="single" w:color="auto" w:sz="4" w:space="0"/>
              <w:left w:val="single" w:color="auto" w:sz="4" w:space="0"/>
              <w:bottom w:val="single" w:color="auto" w:sz="4" w:space="0"/>
              <w:right w:val="single" w:color="auto" w:sz="4" w:space="0"/>
            </w:tcBorders>
            <w:noWrap w:val="0"/>
            <w:vAlign w:val="center"/>
          </w:tcPr>
          <w:p w14:paraId="78874AE3">
            <w:pPr>
              <w:rPr>
                <w:rFonts w:hint="eastAsia" w:ascii="宋体" w:hAnsi="宋体" w:eastAsia="宋体" w:cs="宋体"/>
                <w:color w:val="auto"/>
                <w:sz w:val="22"/>
                <w:szCs w:val="22"/>
                <w:highlight w:val="none"/>
              </w:rPr>
            </w:pPr>
          </w:p>
        </w:tc>
      </w:tr>
      <w:tr w14:paraId="359B2123">
        <w:tblPrEx>
          <w:tblCellMar>
            <w:top w:w="0" w:type="dxa"/>
            <w:left w:w="108" w:type="dxa"/>
            <w:bottom w:w="0" w:type="dxa"/>
            <w:right w:w="108" w:type="dxa"/>
          </w:tblCellMar>
        </w:tblPrEx>
        <w:trPr>
          <w:trHeight w:val="390" w:hRule="atLeast"/>
          <w:jc w:val="center"/>
        </w:trPr>
        <w:tc>
          <w:tcPr>
            <w:tcW w:w="647" w:type="dxa"/>
            <w:vMerge w:val="continue"/>
            <w:tcBorders>
              <w:left w:val="single" w:color="000000" w:sz="4" w:space="0"/>
              <w:bottom w:val="single" w:color="000000" w:sz="4" w:space="0"/>
              <w:right w:val="single" w:color="000000" w:sz="4" w:space="0"/>
            </w:tcBorders>
            <w:noWrap/>
            <w:vAlign w:val="center"/>
          </w:tcPr>
          <w:p w14:paraId="0F05A2B7">
            <w:pPr>
              <w:jc w:val="center"/>
              <w:textAlignment w:val="center"/>
              <w:rPr>
                <w:rFonts w:hint="eastAsia" w:ascii="宋体" w:hAnsi="宋体" w:eastAsia="宋体" w:cs="宋体"/>
                <w:color w:val="auto"/>
                <w:sz w:val="18"/>
                <w:szCs w:val="18"/>
                <w:highlight w:val="none"/>
                <w:lang w:bidi="ar"/>
              </w:rPr>
            </w:pPr>
          </w:p>
        </w:tc>
        <w:tc>
          <w:tcPr>
            <w:tcW w:w="1549" w:type="dxa"/>
            <w:vMerge w:val="continue"/>
            <w:tcBorders>
              <w:left w:val="single" w:color="000000" w:sz="4" w:space="0"/>
              <w:bottom w:val="single" w:color="000000" w:sz="4" w:space="0"/>
              <w:right w:val="single" w:color="000000" w:sz="4" w:space="0"/>
            </w:tcBorders>
            <w:noWrap/>
            <w:vAlign w:val="center"/>
          </w:tcPr>
          <w:p w14:paraId="2746E4FD">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6480" w:type="dxa"/>
            <w:tcBorders>
              <w:top w:val="single" w:color="auto" w:sz="4" w:space="0"/>
              <w:left w:val="single" w:color="000000" w:sz="4" w:space="0"/>
              <w:bottom w:val="single" w:color="auto" w:sz="4" w:space="0"/>
              <w:right w:val="single" w:color="000000" w:sz="4" w:space="0"/>
            </w:tcBorders>
            <w:noWrap w:val="0"/>
            <w:vAlign w:val="center"/>
          </w:tcPr>
          <w:p w14:paraId="12F25B1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7、声卡：集成</w:t>
            </w:r>
          </w:p>
        </w:tc>
        <w:tc>
          <w:tcPr>
            <w:tcW w:w="731" w:type="dxa"/>
            <w:vMerge w:val="continue"/>
            <w:tcBorders>
              <w:left w:val="single" w:color="000000" w:sz="4" w:space="0"/>
              <w:bottom w:val="single" w:color="000000" w:sz="4" w:space="0"/>
              <w:right w:val="single" w:color="000000" w:sz="4" w:space="0"/>
            </w:tcBorders>
            <w:noWrap/>
            <w:vAlign w:val="center"/>
          </w:tcPr>
          <w:p w14:paraId="3C9A84A3">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774" w:type="dxa"/>
            <w:vMerge w:val="continue"/>
            <w:tcBorders>
              <w:left w:val="single" w:color="000000" w:sz="4" w:space="0"/>
              <w:bottom w:val="single" w:color="000000" w:sz="4" w:space="0"/>
              <w:right w:val="single" w:color="000000" w:sz="4" w:space="0"/>
            </w:tcBorders>
            <w:noWrap/>
            <w:vAlign w:val="center"/>
          </w:tcPr>
          <w:p w14:paraId="5DD81D24">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1357" w:type="dxa"/>
            <w:tcBorders>
              <w:top w:val="single" w:color="auto" w:sz="4" w:space="0"/>
              <w:left w:val="single" w:color="000000" w:sz="4" w:space="0"/>
              <w:bottom w:val="single" w:color="auto" w:sz="4" w:space="0"/>
              <w:right w:val="single" w:color="auto" w:sz="4" w:space="0"/>
            </w:tcBorders>
            <w:noWrap w:val="0"/>
            <w:vAlign w:val="center"/>
          </w:tcPr>
          <w:p w14:paraId="071DAA82">
            <w:pPr>
              <w:rPr>
                <w:rFonts w:hint="eastAsia" w:ascii="宋体" w:hAnsi="宋体" w:eastAsia="宋体" w:cs="宋体"/>
                <w:color w:val="auto"/>
                <w:sz w:val="22"/>
                <w:szCs w:val="22"/>
                <w:highlight w:val="none"/>
              </w:rPr>
            </w:pPr>
          </w:p>
        </w:tc>
        <w:tc>
          <w:tcPr>
            <w:tcW w:w="1241" w:type="dxa"/>
            <w:vMerge w:val="continue"/>
            <w:tcBorders>
              <w:left w:val="single" w:color="auto" w:sz="4" w:space="0"/>
              <w:bottom w:val="single" w:color="000000" w:sz="4" w:space="0"/>
              <w:right w:val="single" w:color="auto" w:sz="4" w:space="0"/>
            </w:tcBorders>
            <w:noWrap w:val="0"/>
            <w:vAlign w:val="center"/>
          </w:tcPr>
          <w:p w14:paraId="416F40AC">
            <w:pPr>
              <w:rPr>
                <w:rFonts w:hint="eastAsia" w:ascii="宋体" w:hAnsi="宋体" w:eastAsia="宋体" w:cs="宋体"/>
                <w:color w:val="auto"/>
                <w:sz w:val="22"/>
                <w:szCs w:val="22"/>
                <w:highlight w:val="none"/>
              </w:rPr>
            </w:pPr>
          </w:p>
        </w:tc>
        <w:tc>
          <w:tcPr>
            <w:tcW w:w="1763" w:type="dxa"/>
            <w:tcBorders>
              <w:top w:val="single" w:color="auto" w:sz="4" w:space="0"/>
              <w:left w:val="single" w:color="auto" w:sz="4" w:space="0"/>
              <w:bottom w:val="single" w:color="auto" w:sz="4" w:space="0"/>
              <w:right w:val="single" w:color="auto" w:sz="4" w:space="0"/>
            </w:tcBorders>
            <w:noWrap w:val="0"/>
            <w:vAlign w:val="center"/>
          </w:tcPr>
          <w:p w14:paraId="23BC04F3">
            <w:pPr>
              <w:rPr>
                <w:rFonts w:hint="eastAsia" w:ascii="宋体" w:hAnsi="宋体" w:eastAsia="宋体" w:cs="宋体"/>
                <w:color w:val="auto"/>
                <w:sz w:val="22"/>
                <w:szCs w:val="22"/>
                <w:highlight w:val="none"/>
              </w:rPr>
            </w:pPr>
          </w:p>
        </w:tc>
      </w:tr>
      <w:tr w14:paraId="3A4CDF30">
        <w:tblPrEx>
          <w:tblCellMar>
            <w:top w:w="0" w:type="dxa"/>
            <w:left w:w="108" w:type="dxa"/>
            <w:bottom w:w="0" w:type="dxa"/>
            <w:right w:w="108" w:type="dxa"/>
          </w:tblCellMar>
        </w:tblPrEx>
        <w:trPr>
          <w:trHeight w:val="503" w:hRule="atLeast"/>
          <w:jc w:val="center"/>
        </w:trPr>
        <w:tc>
          <w:tcPr>
            <w:tcW w:w="647" w:type="dxa"/>
            <w:vMerge w:val="continue"/>
            <w:tcBorders>
              <w:left w:val="single" w:color="000000" w:sz="4" w:space="0"/>
              <w:bottom w:val="single" w:color="000000" w:sz="4" w:space="0"/>
              <w:right w:val="single" w:color="000000" w:sz="4" w:space="0"/>
            </w:tcBorders>
            <w:noWrap/>
            <w:vAlign w:val="center"/>
          </w:tcPr>
          <w:p w14:paraId="2F4840DA">
            <w:pPr>
              <w:jc w:val="center"/>
              <w:textAlignment w:val="center"/>
              <w:rPr>
                <w:rFonts w:hint="eastAsia" w:ascii="宋体" w:hAnsi="宋体" w:eastAsia="宋体" w:cs="宋体"/>
                <w:color w:val="auto"/>
                <w:sz w:val="18"/>
                <w:szCs w:val="18"/>
                <w:highlight w:val="none"/>
                <w:lang w:bidi="ar"/>
              </w:rPr>
            </w:pPr>
          </w:p>
        </w:tc>
        <w:tc>
          <w:tcPr>
            <w:tcW w:w="1549" w:type="dxa"/>
            <w:vMerge w:val="continue"/>
            <w:tcBorders>
              <w:left w:val="single" w:color="000000" w:sz="4" w:space="0"/>
              <w:bottom w:val="single" w:color="000000" w:sz="4" w:space="0"/>
              <w:right w:val="single" w:color="000000" w:sz="4" w:space="0"/>
            </w:tcBorders>
            <w:noWrap/>
            <w:vAlign w:val="center"/>
          </w:tcPr>
          <w:p w14:paraId="76F6DB1C">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6480" w:type="dxa"/>
            <w:tcBorders>
              <w:top w:val="single" w:color="auto" w:sz="4" w:space="0"/>
              <w:left w:val="single" w:color="000000" w:sz="4" w:space="0"/>
              <w:bottom w:val="single" w:color="auto" w:sz="4" w:space="0"/>
              <w:right w:val="single" w:color="000000" w:sz="4" w:space="0"/>
            </w:tcBorders>
            <w:noWrap w:val="0"/>
            <w:vAlign w:val="center"/>
          </w:tcPr>
          <w:p w14:paraId="579F1F9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8、IO接口 前置：USB3.0接口≥2，USB2.0接口≥2，麦克风接口≥1，耳机接口≥1</w:t>
            </w:r>
          </w:p>
        </w:tc>
        <w:tc>
          <w:tcPr>
            <w:tcW w:w="731" w:type="dxa"/>
            <w:vMerge w:val="continue"/>
            <w:tcBorders>
              <w:left w:val="single" w:color="000000" w:sz="4" w:space="0"/>
              <w:bottom w:val="single" w:color="000000" w:sz="4" w:space="0"/>
              <w:right w:val="single" w:color="000000" w:sz="4" w:space="0"/>
            </w:tcBorders>
            <w:noWrap/>
            <w:vAlign w:val="center"/>
          </w:tcPr>
          <w:p w14:paraId="26E7EC55">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774" w:type="dxa"/>
            <w:vMerge w:val="continue"/>
            <w:tcBorders>
              <w:left w:val="single" w:color="000000" w:sz="4" w:space="0"/>
              <w:bottom w:val="single" w:color="000000" w:sz="4" w:space="0"/>
              <w:right w:val="single" w:color="000000" w:sz="4" w:space="0"/>
            </w:tcBorders>
            <w:noWrap/>
            <w:vAlign w:val="center"/>
          </w:tcPr>
          <w:p w14:paraId="36139EC4">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1357" w:type="dxa"/>
            <w:tcBorders>
              <w:top w:val="single" w:color="auto" w:sz="4" w:space="0"/>
              <w:left w:val="single" w:color="000000" w:sz="4" w:space="0"/>
              <w:bottom w:val="single" w:color="auto" w:sz="4" w:space="0"/>
              <w:right w:val="single" w:color="auto" w:sz="4" w:space="0"/>
            </w:tcBorders>
            <w:noWrap w:val="0"/>
            <w:vAlign w:val="center"/>
          </w:tcPr>
          <w:p w14:paraId="05B3D2A5">
            <w:pPr>
              <w:rPr>
                <w:rFonts w:hint="eastAsia" w:ascii="宋体" w:hAnsi="宋体" w:eastAsia="宋体" w:cs="宋体"/>
                <w:color w:val="auto"/>
                <w:sz w:val="22"/>
                <w:szCs w:val="22"/>
                <w:highlight w:val="none"/>
              </w:rPr>
            </w:pPr>
          </w:p>
        </w:tc>
        <w:tc>
          <w:tcPr>
            <w:tcW w:w="1241" w:type="dxa"/>
            <w:vMerge w:val="continue"/>
            <w:tcBorders>
              <w:left w:val="single" w:color="auto" w:sz="4" w:space="0"/>
              <w:bottom w:val="single" w:color="000000" w:sz="4" w:space="0"/>
              <w:right w:val="single" w:color="auto" w:sz="4" w:space="0"/>
            </w:tcBorders>
            <w:noWrap w:val="0"/>
            <w:vAlign w:val="center"/>
          </w:tcPr>
          <w:p w14:paraId="65F45A45">
            <w:pPr>
              <w:rPr>
                <w:rFonts w:hint="eastAsia" w:ascii="宋体" w:hAnsi="宋体" w:eastAsia="宋体" w:cs="宋体"/>
                <w:color w:val="auto"/>
                <w:sz w:val="22"/>
                <w:szCs w:val="22"/>
                <w:highlight w:val="none"/>
              </w:rPr>
            </w:pPr>
          </w:p>
        </w:tc>
        <w:tc>
          <w:tcPr>
            <w:tcW w:w="1763" w:type="dxa"/>
            <w:tcBorders>
              <w:top w:val="single" w:color="auto" w:sz="4" w:space="0"/>
              <w:left w:val="single" w:color="auto" w:sz="4" w:space="0"/>
              <w:bottom w:val="single" w:color="auto" w:sz="4" w:space="0"/>
              <w:right w:val="single" w:color="auto" w:sz="4" w:space="0"/>
            </w:tcBorders>
            <w:noWrap w:val="0"/>
            <w:vAlign w:val="center"/>
          </w:tcPr>
          <w:p w14:paraId="020BD9BC">
            <w:pPr>
              <w:rPr>
                <w:rFonts w:hint="eastAsia" w:ascii="宋体" w:hAnsi="宋体" w:eastAsia="宋体" w:cs="宋体"/>
                <w:color w:val="auto"/>
                <w:sz w:val="22"/>
                <w:szCs w:val="22"/>
                <w:highlight w:val="none"/>
              </w:rPr>
            </w:pPr>
          </w:p>
        </w:tc>
      </w:tr>
      <w:tr w14:paraId="618F409F">
        <w:tblPrEx>
          <w:tblCellMar>
            <w:top w:w="0" w:type="dxa"/>
            <w:left w:w="108" w:type="dxa"/>
            <w:bottom w:w="0" w:type="dxa"/>
            <w:right w:w="108" w:type="dxa"/>
          </w:tblCellMar>
        </w:tblPrEx>
        <w:trPr>
          <w:trHeight w:val="415" w:hRule="atLeast"/>
          <w:jc w:val="center"/>
        </w:trPr>
        <w:tc>
          <w:tcPr>
            <w:tcW w:w="647" w:type="dxa"/>
            <w:vMerge w:val="continue"/>
            <w:tcBorders>
              <w:left w:val="single" w:color="000000" w:sz="4" w:space="0"/>
              <w:bottom w:val="single" w:color="000000" w:sz="4" w:space="0"/>
              <w:right w:val="single" w:color="000000" w:sz="4" w:space="0"/>
            </w:tcBorders>
            <w:noWrap/>
            <w:vAlign w:val="center"/>
          </w:tcPr>
          <w:p w14:paraId="1C6170EB">
            <w:pPr>
              <w:jc w:val="center"/>
              <w:textAlignment w:val="center"/>
              <w:rPr>
                <w:rFonts w:hint="eastAsia" w:ascii="宋体" w:hAnsi="宋体" w:eastAsia="宋体" w:cs="宋体"/>
                <w:color w:val="auto"/>
                <w:sz w:val="18"/>
                <w:szCs w:val="18"/>
                <w:highlight w:val="none"/>
                <w:lang w:bidi="ar"/>
              </w:rPr>
            </w:pPr>
          </w:p>
        </w:tc>
        <w:tc>
          <w:tcPr>
            <w:tcW w:w="1549" w:type="dxa"/>
            <w:vMerge w:val="continue"/>
            <w:tcBorders>
              <w:left w:val="single" w:color="000000" w:sz="4" w:space="0"/>
              <w:bottom w:val="single" w:color="000000" w:sz="4" w:space="0"/>
              <w:right w:val="single" w:color="000000" w:sz="4" w:space="0"/>
            </w:tcBorders>
            <w:noWrap/>
            <w:vAlign w:val="center"/>
          </w:tcPr>
          <w:p w14:paraId="63CE9543">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6480" w:type="dxa"/>
            <w:tcBorders>
              <w:top w:val="single" w:color="auto" w:sz="4" w:space="0"/>
              <w:left w:val="single" w:color="000000" w:sz="4" w:space="0"/>
              <w:bottom w:val="single" w:color="auto" w:sz="4" w:space="0"/>
              <w:right w:val="single" w:color="000000" w:sz="4" w:space="0"/>
            </w:tcBorders>
            <w:noWrap w:val="0"/>
            <w:vAlign w:val="center"/>
          </w:tcPr>
          <w:p w14:paraId="793A6803">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9、</w:t>
            </w:r>
            <w:r>
              <w:rPr>
                <w:rFonts w:hint="eastAsia" w:ascii="宋体" w:hAnsi="宋体" w:eastAsia="宋体" w:cs="宋体"/>
                <w:b w:val="0"/>
                <w:bCs w:val="0"/>
                <w:color w:val="auto"/>
                <w:sz w:val="18"/>
                <w:szCs w:val="18"/>
                <w:highlight w:val="none"/>
                <w:lang w:val="en-US" w:eastAsia="zh-CN"/>
              </w:rPr>
              <w:t>后置：USB3.2接口</w:t>
            </w:r>
            <w:r>
              <w:rPr>
                <w:rFonts w:hint="eastAsia" w:ascii="宋体" w:hAnsi="宋体" w:eastAsia="宋体" w:cs="宋体"/>
                <w:color w:val="auto"/>
                <w:sz w:val="18"/>
                <w:szCs w:val="18"/>
                <w:highlight w:val="none"/>
                <w:lang w:val="en-US" w:eastAsia="zh-CN"/>
              </w:rPr>
              <w:t>≥</w:t>
            </w:r>
            <w:r>
              <w:rPr>
                <w:rFonts w:hint="eastAsia" w:ascii="宋体" w:hAnsi="宋体" w:eastAsia="宋体" w:cs="宋体"/>
                <w:b w:val="0"/>
                <w:bCs w:val="0"/>
                <w:color w:val="auto"/>
                <w:sz w:val="18"/>
                <w:szCs w:val="18"/>
                <w:highlight w:val="none"/>
                <w:lang w:val="en-US" w:eastAsia="zh-CN"/>
              </w:rPr>
              <w:t>4，USB2.0接口</w:t>
            </w:r>
            <w:r>
              <w:rPr>
                <w:rFonts w:hint="eastAsia" w:ascii="宋体" w:hAnsi="宋体" w:eastAsia="宋体" w:cs="宋体"/>
                <w:color w:val="auto"/>
                <w:sz w:val="18"/>
                <w:szCs w:val="18"/>
                <w:highlight w:val="none"/>
                <w:lang w:val="en-US" w:eastAsia="zh-CN"/>
              </w:rPr>
              <w:t>≥</w:t>
            </w:r>
            <w:r>
              <w:rPr>
                <w:rFonts w:hint="eastAsia" w:ascii="宋体" w:hAnsi="宋体" w:eastAsia="宋体" w:cs="宋体"/>
                <w:b w:val="0"/>
                <w:bCs w:val="0"/>
                <w:color w:val="auto"/>
                <w:sz w:val="18"/>
                <w:szCs w:val="18"/>
                <w:highlight w:val="none"/>
                <w:lang w:val="en-US" w:eastAsia="zh-CN"/>
              </w:rPr>
              <w:t>2， PS/2接口</w:t>
            </w:r>
            <w:r>
              <w:rPr>
                <w:rFonts w:hint="eastAsia" w:ascii="宋体" w:hAnsi="宋体" w:eastAsia="宋体" w:cs="宋体"/>
                <w:color w:val="auto"/>
                <w:sz w:val="18"/>
                <w:szCs w:val="18"/>
                <w:highlight w:val="none"/>
                <w:lang w:val="en-US" w:eastAsia="zh-CN"/>
              </w:rPr>
              <w:t>≥</w:t>
            </w:r>
            <w:r>
              <w:rPr>
                <w:rFonts w:hint="eastAsia" w:ascii="宋体" w:hAnsi="宋体" w:eastAsia="宋体" w:cs="宋体"/>
                <w:b w:val="0"/>
                <w:bCs w:val="0"/>
                <w:color w:val="auto"/>
                <w:sz w:val="18"/>
                <w:szCs w:val="18"/>
                <w:highlight w:val="none"/>
                <w:lang w:val="en-US" w:eastAsia="zh-CN"/>
              </w:rPr>
              <w:t>1，RJ45网络接口</w:t>
            </w:r>
            <w:r>
              <w:rPr>
                <w:rFonts w:hint="eastAsia" w:ascii="宋体" w:hAnsi="宋体" w:eastAsia="宋体" w:cs="宋体"/>
                <w:color w:val="auto"/>
                <w:sz w:val="18"/>
                <w:szCs w:val="18"/>
                <w:highlight w:val="none"/>
                <w:lang w:val="en-US" w:eastAsia="zh-CN"/>
              </w:rPr>
              <w:t>≥</w:t>
            </w:r>
            <w:r>
              <w:rPr>
                <w:rFonts w:hint="eastAsia" w:ascii="宋体" w:hAnsi="宋体" w:eastAsia="宋体" w:cs="宋体"/>
                <w:b w:val="0"/>
                <w:bCs w:val="0"/>
                <w:color w:val="auto"/>
                <w:sz w:val="18"/>
                <w:szCs w:val="18"/>
                <w:highlight w:val="none"/>
                <w:lang w:val="en-US" w:eastAsia="zh-CN"/>
              </w:rPr>
              <w:t>1，音频接口</w:t>
            </w:r>
            <w:r>
              <w:rPr>
                <w:rFonts w:hint="eastAsia" w:ascii="宋体" w:hAnsi="宋体" w:eastAsia="宋体" w:cs="宋体"/>
                <w:color w:val="auto"/>
                <w:sz w:val="18"/>
                <w:szCs w:val="18"/>
                <w:highlight w:val="none"/>
                <w:lang w:val="en-US" w:eastAsia="zh-CN"/>
              </w:rPr>
              <w:t>≥</w:t>
            </w:r>
            <w:r>
              <w:rPr>
                <w:rFonts w:hint="eastAsia" w:ascii="宋体" w:hAnsi="宋体" w:eastAsia="宋体" w:cs="宋体"/>
                <w:b w:val="0"/>
                <w:bCs w:val="0"/>
                <w:color w:val="auto"/>
                <w:sz w:val="18"/>
                <w:szCs w:val="18"/>
                <w:highlight w:val="none"/>
                <w:lang w:val="en-US" w:eastAsia="zh-CN"/>
              </w:rPr>
              <w:t>1组， HDMI接口</w:t>
            </w:r>
            <w:r>
              <w:rPr>
                <w:rFonts w:hint="eastAsia" w:ascii="宋体" w:hAnsi="宋体" w:eastAsia="宋体" w:cs="宋体"/>
                <w:color w:val="auto"/>
                <w:sz w:val="18"/>
                <w:szCs w:val="18"/>
                <w:highlight w:val="none"/>
                <w:lang w:val="en-US" w:eastAsia="zh-CN"/>
              </w:rPr>
              <w:t>≥</w:t>
            </w:r>
            <w:r>
              <w:rPr>
                <w:rFonts w:hint="eastAsia" w:ascii="宋体" w:hAnsi="宋体" w:eastAsia="宋体" w:cs="宋体"/>
                <w:b w:val="0"/>
                <w:bCs w:val="0"/>
                <w:color w:val="auto"/>
                <w:sz w:val="18"/>
                <w:szCs w:val="18"/>
                <w:highlight w:val="none"/>
                <w:lang w:val="en-US" w:eastAsia="zh-CN"/>
              </w:rPr>
              <w:t>1，VGA接口</w:t>
            </w:r>
            <w:r>
              <w:rPr>
                <w:rFonts w:hint="eastAsia" w:ascii="宋体" w:hAnsi="宋体" w:eastAsia="宋体" w:cs="宋体"/>
                <w:color w:val="auto"/>
                <w:sz w:val="18"/>
                <w:szCs w:val="18"/>
                <w:highlight w:val="none"/>
                <w:lang w:val="en-US" w:eastAsia="zh-CN"/>
              </w:rPr>
              <w:t>≥</w:t>
            </w:r>
            <w:r>
              <w:rPr>
                <w:rFonts w:hint="eastAsia" w:ascii="宋体" w:hAnsi="宋体" w:eastAsia="宋体" w:cs="宋体"/>
                <w:b w:val="0"/>
                <w:bCs w:val="0"/>
                <w:color w:val="auto"/>
                <w:sz w:val="18"/>
                <w:szCs w:val="18"/>
                <w:highlight w:val="none"/>
                <w:lang w:val="en-US" w:eastAsia="zh-CN"/>
              </w:rPr>
              <w:t>1；</w:t>
            </w:r>
          </w:p>
        </w:tc>
        <w:tc>
          <w:tcPr>
            <w:tcW w:w="731" w:type="dxa"/>
            <w:vMerge w:val="continue"/>
            <w:tcBorders>
              <w:left w:val="single" w:color="000000" w:sz="4" w:space="0"/>
              <w:bottom w:val="single" w:color="000000" w:sz="4" w:space="0"/>
              <w:right w:val="single" w:color="000000" w:sz="4" w:space="0"/>
            </w:tcBorders>
            <w:noWrap/>
            <w:vAlign w:val="center"/>
          </w:tcPr>
          <w:p w14:paraId="3C58F787">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774" w:type="dxa"/>
            <w:vMerge w:val="continue"/>
            <w:tcBorders>
              <w:left w:val="single" w:color="000000" w:sz="4" w:space="0"/>
              <w:bottom w:val="single" w:color="000000" w:sz="4" w:space="0"/>
              <w:right w:val="single" w:color="000000" w:sz="4" w:space="0"/>
            </w:tcBorders>
            <w:noWrap/>
            <w:vAlign w:val="center"/>
          </w:tcPr>
          <w:p w14:paraId="218D8595">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1357" w:type="dxa"/>
            <w:tcBorders>
              <w:top w:val="single" w:color="auto" w:sz="4" w:space="0"/>
              <w:left w:val="single" w:color="000000" w:sz="4" w:space="0"/>
              <w:bottom w:val="single" w:color="auto" w:sz="4" w:space="0"/>
              <w:right w:val="single" w:color="auto" w:sz="4" w:space="0"/>
            </w:tcBorders>
            <w:noWrap w:val="0"/>
            <w:vAlign w:val="center"/>
          </w:tcPr>
          <w:p w14:paraId="4D1CE419">
            <w:pPr>
              <w:rPr>
                <w:rFonts w:hint="eastAsia" w:ascii="宋体" w:hAnsi="宋体" w:eastAsia="宋体" w:cs="宋体"/>
                <w:color w:val="auto"/>
                <w:sz w:val="22"/>
                <w:szCs w:val="22"/>
                <w:highlight w:val="none"/>
              </w:rPr>
            </w:pPr>
          </w:p>
        </w:tc>
        <w:tc>
          <w:tcPr>
            <w:tcW w:w="1241" w:type="dxa"/>
            <w:vMerge w:val="continue"/>
            <w:tcBorders>
              <w:left w:val="single" w:color="auto" w:sz="4" w:space="0"/>
              <w:bottom w:val="single" w:color="000000" w:sz="4" w:space="0"/>
              <w:right w:val="single" w:color="auto" w:sz="4" w:space="0"/>
            </w:tcBorders>
            <w:noWrap w:val="0"/>
            <w:vAlign w:val="center"/>
          </w:tcPr>
          <w:p w14:paraId="580E0BDC">
            <w:pPr>
              <w:rPr>
                <w:rFonts w:hint="eastAsia" w:ascii="宋体" w:hAnsi="宋体" w:eastAsia="宋体" w:cs="宋体"/>
                <w:color w:val="auto"/>
                <w:sz w:val="22"/>
                <w:szCs w:val="22"/>
                <w:highlight w:val="none"/>
              </w:rPr>
            </w:pPr>
          </w:p>
        </w:tc>
        <w:tc>
          <w:tcPr>
            <w:tcW w:w="1763" w:type="dxa"/>
            <w:tcBorders>
              <w:top w:val="single" w:color="auto" w:sz="4" w:space="0"/>
              <w:left w:val="single" w:color="auto" w:sz="4" w:space="0"/>
              <w:bottom w:val="single" w:color="auto" w:sz="4" w:space="0"/>
              <w:right w:val="single" w:color="auto" w:sz="4" w:space="0"/>
            </w:tcBorders>
            <w:noWrap w:val="0"/>
            <w:vAlign w:val="center"/>
          </w:tcPr>
          <w:p w14:paraId="27CB016C">
            <w:pPr>
              <w:rPr>
                <w:rFonts w:hint="eastAsia" w:ascii="宋体" w:hAnsi="宋体" w:eastAsia="宋体" w:cs="宋体"/>
                <w:color w:val="auto"/>
                <w:sz w:val="22"/>
                <w:szCs w:val="22"/>
                <w:highlight w:val="none"/>
              </w:rPr>
            </w:pPr>
          </w:p>
        </w:tc>
      </w:tr>
      <w:tr w14:paraId="7994356C">
        <w:tblPrEx>
          <w:tblCellMar>
            <w:top w:w="0" w:type="dxa"/>
            <w:left w:w="108" w:type="dxa"/>
            <w:bottom w:w="0" w:type="dxa"/>
            <w:right w:w="108" w:type="dxa"/>
          </w:tblCellMar>
        </w:tblPrEx>
        <w:trPr>
          <w:trHeight w:val="502" w:hRule="atLeast"/>
          <w:jc w:val="center"/>
        </w:trPr>
        <w:tc>
          <w:tcPr>
            <w:tcW w:w="647" w:type="dxa"/>
            <w:vMerge w:val="continue"/>
            <w:tcBorders>
              <w:left w:val="single" w:color="000000" w:sz="4" w:space="0"/>
              <w:bottom w:val="single" w:color="000000" w:sz="4" w:space="0"/>
              <w:right w:val="single" w:color="000000" w:sz="4" w:space="0"/>
            </w:tcBorders>
            <w:noWrap/>
            <w:vAlign w:val="center"/>
          </w:tcPr>
          <w:p w14:paraId="2FF419D2">
            <w:pPr>
              <w:jc w:val="center"/>
              <w:textAlignment w:val="center"/>
              <w:rPr>
                <w:rFonts w:hint="eastAsia" w:ascii="宋体" w:hAnsi="宋体" w:eastAsia="宋体" w:cs="宋体"/>
                <w:color w:val="auto"/>
                <w:sz w:val="18"/>
                <w:szCs w:val="18"/>
                <w:highlight w:val="none"/>
                <w:lang w:bidi="ar"/>
              </w:rPr>
            </w:pPr>
          </w:p>
        </w:tc>
        <w:tc>
          <w:tcPr>
            <w:tcW w:w="1549" w:type="dxa"/>
            <w:vMerge w:val="continue"/>
            <w:tcBorders>
              <w:left w:val="single" w:color="000000" w:sz="4" w:space="0"/>
              <w:bottom w:val="single" w:color="000000" w:sz="4" w:space="0"/>
              <w:right w:val="single" w:color="000000" w:sz="4" w:space="0"/>
            </w:tcBorders>
            <w:noWrap/>
            <w:vAlign w:val="center"/>
          </w:tcPr>
          <w:p w14:paraId="5E474147">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6480" w:type="dxa"/>
            <w:tcBorders>
              <w:top w:val="single" w:color="auto" w:sz="4" w:space="0"/>
              <w:left w:val="single" w:color="000000" w:sz="4" w:space="0"/>
              <w:bottom w:val="single" w:color="auto" w:sz="4" w:space="0"/>
              <w:right w:val="single" w:color="000000" w:sz="4" w:space="0"/>
            </w:tcBorders>
            <w:noWrap w:val="0"/>
            <w:vAlign w:val="center"/>
          </w:tcPr>
          <w:p w14:paraId="27231AEF">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10、电源 ≥500W多路电源  输出插头≥4；</w:t>
            </w:r>
          </w:p>
        </w:tc>
        <w:tc>
          <w:tcPr>
            <w:tcW w:w="731" w:type="dxa"/>
            <w:vMerge w:val="continue"/>
            <w:tcBorders>
              <w:left w:val="single" w:color="000000" w:sz="4" w:space="0"/>
              <w:bottom w:val="single" w:color="000000" w:sz="4" w:space="0"/>
              <w:right w:val="single" w:color="000000" w:sz="4" w:space="0"/>
            </w:tcBorders>
            <w:noWrap/>
            <w:vAlign w:val="center"/>
          </w:tcPr>
          <w:p w14:paraId="666EEB61">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774" w:type="dxa"/>
            <w:vMerge w:val="continue"/>
            <w:tcBorders>
              <w:left w:val="single" w:color="000000" w:sz="4" w:space="0"/>
              <w:bottom w:val="single" w:color="000000" w:sz="4" w:space="0"/>
              <w:right w:val="single" w:color="000000" w:sz="4" w:space="0"/>
            </w:tcBorders>
            <w:noWrap/>
            <w:vAlign w:val="center"/>
          </w:tcPr>
          <w:p w14:paraId="635B4B0F">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1357" w:type="dxa"/>
            <w:tcBorders>
              <w:top w:val="single" w:color="auto" w:sz="4" w:space="0"/>
              <w:left w:val="single" w:color="000000" w:sz="4" w:space="0"/>
              <w:bottom w:val="single" w:color="auto" w:sz="4" w:space="0"/>
              <w:right w:val="single" w:color="auto" w:sz="4" w:space="0"/>
            </w:tcBorders>
            <w:noWrap w:val="0"/>
            <w:vAlign w:val="center"/>
          </w:tcPr>
          <w:p w14:paraId="2CEE7FB5">
            <w:pPr>
              <w:rPr>
                <w:rFonts w:hint="eastAsia" w:ascii="宋体" w:hAnsi="宋体" w:eastAsia="宋体" w:cs="宋体"/>
                <w:color w:val="auto"/>
                <w:sz w:val="22"/>
                <w:szCs w:val="22"/>
                <w:highlight w:val="none"/>
              </w:rPr>
            </w:pPr>
          </w:p>
        </w:tc>
        <w:tc>
          <w:tcPr>
            <w:tcW w:w="1241" w:type="dxa"/>
            <w:vMerge w:val="continue"/>
            <w:tcBorders>
              <w:left w:val="single" w:color="auto" w:sz="4" w:space="0"/>
              <w:bottom w:val="single" w:color="000000" w:sz="4" w:space="0"/>
              <w:right w:val="single" w:color="auto" w:sz="4" w:space="0"/>
            </w:tcBorders>
            <w:noWrap w:val="0"/>
            <w:vAlign w:val="center"/>
          </w:tcPr>
          <w:p w14:paraId="3BBE813F">
            <w:pPr>
              <w:rPr>
                <w:rFonts w:hint="eastAsia" w:ascii="宋体" w:hAnsi="宋体" w:eastAsia="宋体" w:cs="宋体"/>
                <w:color w:val="auto"/>
                <w:sz w:val="22"/>
                <w:szCs w:val="22"/>
                <w:highlight w:val="none"/>
              </w:rPr>
            </w:pPr>
          </w:p>
        </w:tc>
        <w:tc>
          <w:tcPr>
            <w:tcW w:w="1763" w:type="dxa"/>
            <w:tcBorders>
              <w:top w:val="single" w:color="auto" w:sz="4" w:space="0"/>
              <w:left w:val="single" w:color="auto" w:sz="4" w:space="0"/>
              <w:bottom w:val="single" w:color="auto" w:sz="4" w:space="0"/>
              <w:right w:val="single" w:color="auto" w:sz="4" w:space="0"/>
            </w:tcBorders>
            <w:noWrap w:val="0"/>
            <w:vAlign w:val="center"/>
          </w:tcPr>
          <w:p w14:paraId="4325A741">
            <w:pPr>
              <w:rPr>
                <w:rFonts w:hint="eastAsia" w:ascii="宋体" w:hAnsi="宋体" w:eastAsia="宋体" w:cs="宋体"/>
                <w:color w:val="auto"/>
                <w:sz w:val="22"/>
                <w:szCs w:val="22"/>
                <w:highlight w:val="none"/>
              </w:rPr>
            </w:pPr>
          </w:p>
        </w:tc>
      </w:tr>
      <w:tr w14:paraId="30BD1B92">
        <w:tblPrEx>
          <w:tblCellMar>
            <w:top w:w="0" w:type="dxa"/>
            <w:left w:w="108" w:type="dxa"/>
            <w:bottom w:w="0" w:type="dxa"/>
            <w:right w:w="108" w:type="dxa"/>
          </w:tblCellMar>
        </w:tblPrEx>
        <w:trPr>
          <w:trHeight w:val="340" w:hRule="atLeast"/>
          <w:jc w:val="center"/>
        </w:trPr>
        <w:tc>
          <w:tcPr>
            <w:tcW w:w="647" w:type="dxa"/>
            <w:vMerge w:val="continue"/>
            <w:tcBorders>
              <w:left w:val="single" w:color="000000" w:sz="4" w:space="0"/>
              <w:bottom w:val="single" w:color="000000" w:sz="4" w:space="0"/>
              <w:right w:val="single" w:color="000000" w:sz="4" w:space="0"/>
            </w:tcBorders>
            <w:noWrap/>
            <w:vAlign w:val="center"/>
          </w:tcPr>
          <w:p w14:paraId="1769CADF">
            <w:pPr>
              <w:jc w:val="center"/>
              <w:textAlignment w:val="center"/>
              <w:rPr>
                <w:rFonts w:hint="eastAsia" w:ascii="宋体" w:hAnsi="宋体" w:eastAsia="宋体" w:cs="宋体"/>
                <w:color w:val="auto"/>
                <w:sz w:val="18"/>
                <w:szCs w:val="18"/>
                <w:highlight w:val="none"/>
                <w:lang w:bidi="ar"/>
              </w:rPr>
            </w:pPr>
          </w:p>
        </w:tc>
        <w:tc>
          <w:tcPr>
            <w:tcW w:w="1549" w:type="dxa"/>
            <w:vMerge w:val="continue"/>
            <w:tcBorders>
              <w:left w:val="single" w:color="000000" w:sz="4" w:space="0"/>
              <w:bottom w:val="single" w:color="000000" w:sz="4" w:space="0"/>
              <w:right w:val="single" w:color="000000" w:sz="4" w:space="0"/>
            </w:tcBorders>
            <w:noWrap/>
            <w:vAlign w:val="center"/>
          </w:tcPr>
          <w:p w14:paraId="07316DF1">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6480" w:type="dxa"/>
            <w:tcBorders>
              <w:top w:val="single" w:color="auto" w:sz="4" w:space="0"/>
              <w:left w:val="single" w:color="000000" w:sz="4" w:space="0"/>
              <w:bottom w:val="single" w:color="auto" w:sz="4" w:space="0"/>
              <w:right w:val="single" w:color="000000" w:sz="4" w:space="0"/>
            </w:tcBorders>
            <w:noWrap w:val="0"/>
            <w:vAlign w:val="center"/>
          </w:tcPr>
          <w:p w14:paraId="639DC1A3">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11、机箱：立式机箱≥24L，机箱上部有提手，免工具开启机箱面板，前置I/O，前置电源开关和重启键，机箱后部预留有机箱安全锁位孔。机箱前面板预留标准光驱位和软驱位，便于后续扩展。</w:t>
            </w:r>
          </w:p>
        </w:tc>
        <w:tc>
          <w:tcPr>
            <w:tcW w:w="731" w:type="dxa"/>
            <w:vMerge w:val="continue"/>
            <w:tcBorders>
              <w:left w:val="single" w:color="000000" w:sz="4" w:space="0"/>
              <w:bottom w:val="single" w:color="000000" w:sz="4" w:space="0"/>
              <w:right w:val="single" w:color="000000" w:sz="4" w:space="0"/>
            </w:tcBorders>
            <w:noWrap/>
            <w:vAlign w:val="center"/>
          </w:tcPr>
          <w:p w14:paraId="0561C807">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774" w:type="dxa"/>
            <w:vMerge w:val="continue"/>
            <w:tcBorders>
              <w:left w:val="single" w:color="000000" w:sz="4" w:space="0"/>
              <w:bottom w:val="single" w:color="000000" w:sz="4" w:space="0"/>
              <w:right w:val="single" w:color="000000" w:sz="4" w:space="0"/>
            </w:tcBorders>
            <w:noWrap/>
            <w:vAlign w:val="center"/>
          </w:tcPr>
          <w:p w14:paraId="794078C7">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1357" w:type="dxa"/>
            <w:tcBorders>
              <w:top w:val="single" w:color="auto" w:sz="4" w:space="0"/>
              <w:left w:val="single" w:color="000000" w:sz="4" w:space="0"/>
              <w:bottom w:val="single" w:color="auto" w:sz="4" w:space="0"/>
              <w:right w:val="single" w:color="auto" w:sz="4" w:space="0"/>
            </w:tcBorders>
            <w:noWrap w:val="0"/>
            <w:vAlign w:val="center"/>
          </w:tcPr>
          <w:p w14:paraId="40C4F342">
            <w:pPr>
              <w:rPr>
                <w:rFonts w:hint="eastAsia" w:ascii="宋体" w:hAnsi="宋体" w:eastAsia="宋体" w:cs="宋体"/>
                <w:color w:val="auto"/>
                <w:sz w:val="22"/>
                <w:szCs w:val="22"/>
                <w:highlight w:val="none"/>
              </w:rPr>
            </w:pPr>
          </w:p>
        </w:tc>
        <w:tc>
          <w:tcPr>
            <w:tcW w:w="1241" w:type="dxa"/>
            <w:vMerge w:val="continue"/>
            <w:tcBorders>
              <w:left w:val="single" w:color="auto" w:sz="4" w:space="0"/>
              <w:bottom w:val="single" w:color="000000" w:sz="4" w:space="0"/>
              <w:right w:val="single" w:color="auto" w:sz="4" w:space="0"/>
            </w:tcBorders>
            <w:noWrap w:val="0"/>
            <w:vAlign w:val="center"/>
          </w:tcPr>
          <w:p w14:paraId="31DD9E44">
            <w:pPr>
              <w:rPr>
                <w:rFonts w:hint="eastAsia" w:ascii="宋体" w:hAnsi="宋体" w:eastAsia="宋体" w:cs="宋体"/>
                <w:color w:val="auto"/>
                <w:sz w:val="22"/>
                <w:szCs w:val="22"/>
                <w:highlight w:val="none"/>
              </w:rPr>
            </w:pPr>
          </w:p>
        </w:tc>
        <w:tc>
          <w:tcPr>
            <w:tcW w:w="1763" w:type="dxa"/>
            <w:tcBorders>
              <w:top w:val="single" w:color="auto" w:sz="4" w:space="0"/>
              <w:left w:val="single" w:color="auto" w:sz="4" w:space="0"/>
              <w:bottom w:val="single" w:color="auto" w:sz="4" w:space="0"/>
              <w:right w:val="single" w:color="auto" w:sz="4" w:space="0"/>
            </w:tcBorders>
            <w:noWrap w:val="0"/>
            <w:vAlign w:val="center"/>
          </w:tcPr>
          <w:p w14:paraId="5BA7A802">
            <w:pPr>
              <w:rPr>
                <w:rFonts w:hint="eastAsia" w:ascii="宋体" w:hAnsi="宋体" w:eastAsia="宋体" w:cs="宋体"/>
                <w:color w:val="auto"/>
                <w:sz w:val="22"/>
                <w:szCs w:val="22"/>
                <w:highlight w:val="none"/>
              </w:rPr>
            </w:pPr>
          </w:p>
        </w:tc>
      </w:tr>
      <w:tr w14:paraId="437377E2">
        <w:tblPrEx>
          <w:tblCellMar>
            <w:top w:w="0" w:type="dxa"/>
            <w:left w:w="108" w:type="dxa"/>
            <w:bottom w:w="0" w:type="dxa"/>
            <w:right w:w="108" w:type="dxa"/>
          </w:tblCellMar>
        </w:tblPrEx>
        <w:trPr>
          <w:trHeight w:val="453" w:hRule="atLeast"/>
          <w:jc w:val="center"/>
        </w:trPr>
        <w:tc>
          <w:tcPr>
            <w:tcW w:w="647" w:type="dxa"/>
            <w:vMerge w:val="continue"/>
            <w:tcBorders>
              <w:left w:val="single" w:color="000000" w:sz="4" w:space="0"/>
              <w:bottom w:val="single" w:color="000000" w:sz="4" w:space="0"/>
              <w:right w:val="single" w:color="000000" w:sz="4" w:space="0"/>
            </w:tcBorders>
            <w:noWrap/>
            <w:vAlign w:val="center"/>
          </w:tcPr>
          <w:p w14:paraId="4218DD6F">
            <w:pPr>
              <w:jc w:val="center"/>
              <w:textAlignment w:val="center"/>
              <w:rPr>
                <w:rFonts w:hint="eastAsia" w:ascii="宋体" w:hAnsi="宋体" w:eastAsia="宋体" w:cs="宋体"/>
                <w:color w:val="auto"/>
                <w:sz w:val="18"/>
                <w:szCs w:val="18"/>
                <w:highlight w:val="none"/>
                <w:lang w:bidi="ar"/>
              </w:rPr>
            </w:pPr>
          </w:p>
        </w:tc>
        <w:tc>
          <w:tcPr>
            <w:tcW w:w="1549" w:type="dxa"/>
            <w:vMerge w:val="continue"/>
            <w:tcBorders>
              <w:left w:val="single" w:color="000000" w:sz="4" w:space="0"/>
              <w:bottom w:val="single" w:color="000000" w:sz="4" w:space="0"/>
              <w:right w:val="single" w:color="000000" w:sz="4" w:space="0"/>
            </w:tcBorders>
            <w:noWrap/>
            <w:vAlign w:val="center"/>
          </w:tcPr>
          <w:p w14:paraId="106074C2">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6480" w:type="dxa"/>
            <w:tcBorders>
              <w:top w:val="single" w:color="auto" w:sz="4" w:space="0"/>
              <w:left w:val="single" w:color="000000" w:sz="4" w:space="0"/>
              <w:bottom w:val="single" w:color="auto" w:sz="4" w:space="0"/>
              <w:right w:val="single" w:color="000000" w:sz="4" w:space="0"/>
            </w:tcBorders>
            <w:noWrap w:val="0"/>
            <w:vAlign w:val="center"/>
          </w:tcPr>
          <w:p w14:paraId="1F62F8BF">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12、键盘鼠标：光电鼠标键盘，通过抗菌测试。</w:t>
            </w:r>
          </w:p>
        </w:tc>
        <w:tc>
          <w:tcPr>
            <w:tcW w:w="731" w:type="dxa"/>
            <w:vMerge w:val="continue"/>
            <w:tcBorders>
              <w:left w:val="single" w:color="000000" w:sz="4" w:space="0"/>
              <w:bottom w:val="single" w:color="000000" w:sz="4" w:space="0"/>
              <w:right w:val="single" w:color="000000" w:sz="4" w:space="0"/>
            </w:tcBorders>
            <w:noWrap/>
            <w:vAlign w:val="center"/>
          </w:tcPr>
          <w:p w14:paraId="4C11F76C">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774" w:type="dxa"/>
            <w:vMerge w:val="continue"/>
            <w:tcBorders>
              <w:left w:val="single" w:color="000000" w:sz="4" w:space="0"/>
              <w:bottom w:val="single" w:color="000000" w:sz="4" w:space="0"/>
              <w:right w:val="single" w:color="000000" w:sz="4" w:space="0"/>
            </w:tcBorders>
            <w:noWrap/>
            <w:vAlign w:val="center"/>
          </w:tcPr>
          <w:p w14:paraId="3776CD8A">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1357" w:type="dxa"/>
            <w:tcBorders>
              <w:top w:val="single" w:color="auto" w:sz="4" w:space="0"/>
              <w:left w:val="single" w:color="000000" w:sz="4" w:space="0"/>
              <w:bottom w:val="single" w:color="auto" w:sz="4" w:space="0"/>
              <w:right w:val="single" w:color="auto" w:sz="4" w:space="0"/>
            </w:tcBorders>
            <w:noWrap w:val="0"/>
            <w:vAlign w:val="center"/>
          </w:tcPr>
          <w:p w14:paraId="02BED675">
            <w:pPr>
              <w:rPr>
                <w:rFonts w:hint="eastAsia" w:ascii="宋体" w:hAnsi="宋体" w:eastAsia="宋体" w:cs="宋体"/>
                <w:color w:val="auto"/>
                <w:sz w:val="22"/>
                <w:szCs w:val="22"/>
                <w:highlight w:val="none"/>
              </w:rPr>
            </w:pPr>
          </w:p>
        </w:tc>
        <w:tc>
          <w:tcPr>
            <w:tcW w:w="1241" w:type="dxa"/>
            <w:vMerge w:val="continue"/>
            <w:tcBorders>
              <w:left w:val="single" w:color="auto" w:sz="4" w:space="0"/>
              <w:bottom w:val="single" w:color="000000" w:sz="4" w:space="0"/>
              <w:right w:val="single" w:color="auto" w:sz="4" w:space="0"/>
            </w:tcBorders>
            <w:noWrap w:val="0"/>
            <w:vAlign w:val="center"/>
          </w:tcPr>
          <w:p w14:paraId="49D4940B">
            <w:pPr>
              <w:rPr>
                <w:rFonts w:hint="eastAsia" w:ascii="宋体" w:hAnsi="宋体" w:eastAsia="宋体" w:cs="宋体"/>
                <w:color w:val="auto"/>
                <w:sz w:val="22"/>
                <w:szCs w:val="22"/>
                <w:highlight w:val="none"/>
              </w:rPr>
            </w:pPr>
          </w:p>
        </w:tc>
        <w:tc>
          <w:tcPr>
            <w:tcW w:w="1763" w:type="dxa"/>
            <w:tcBorders>
              <w:top w:val="single" w:color="auto" w:sz="4" w:space="0"/>
              <w:left w:val="single" w:color="auto" w:sz="4" w:space="0"/>
              <w:bottom w:val="single" w:color="auto" w:sz="4" w:space="0"/>
              <w:right w:val="single" w:color="auto" w:sz="4" w:space="0"/>
            </w:tcBorders>
            <w:noWrap w:val="0"/>
            <w:vAlign w:val="center"/>
          </w:tcPr>
          <w:p w14:paraId="5C4F25DF">
            <w:pPr>
              <w:rPr>
                <w:rFonts w:hint="eastAsia" w:ascii="宋体" w:hAnsi="宋体" w:eastAsia="宋体" w:cs="宋体"/>
                <w:color w:val="auto"/>
                <w:sz w:val="22"/>
                <w:szCs w:val="22"/>
                <w:highlight w:val="none"/>
              </w:rPr>
            </w:pPr>
          </w:p>
        </w:tc>
      </w:tr>
      <w:tr w14:paraId="12589319">
        <w:tblPrEx>
          <w:tblCellMar>
            <w:top w:w="0" w:type="dxa"/>
            <w:left w:w="108" w:type="dxa"/>
            <w:bottom w:w="0" w:type="dxa"/>
            <w:right w:w="108" w:type="dxa"/>
          </w:tblCellMar>
        </w:tblPrEx>
        <w:trPr>
          <w:trHeight w:val="352" w:hRule="atLeast"/>
          <w:jc w:val="center"/>
        </w:trPr>
        <w:tc>
          <w:tcPr>
            <w:tcW w:w="647" w:type="dxa"/>
            <w:vMerge w:val="continue"/>
            <w:tcBorders>
              <w:left w:val="single" w:color="000000" w:sz="4" w:space="0"/>
              <w:bottom w:val="single" w:color="000000" w:sz="4" w:space="0"/>
              <w:right w:val="single" w:color="000000" w:sz="4" w:space="0"/>
            </w:tcBorders>
            <w:noWrap/>
            <w:vAlign w:val="center"/>
          </w:tcPr>
          <w:p w14:paraId="2A478141">
            <w:pPr>
              <w:jc w:val="center"/>
              <w:textAlignment w:val="center"/>
              <w:rPr>
                <w:rFonts w:hint="eastAsia" w:ascii="宋体" w:hAnsi="宋体" w:eastAsia="宋体" w:cs="宋体"/>
                <w:color w:val="auto"/>
                <w:sz w:val="18"/>
                <w:szCs w:val="18"/>
                <w:highlight w:val="none"/>
                <w:lang w:bidi="ar"/>
              </w:rPr>
            </w:pPr>
          </w:p>
        </w:tc>
        <w:tc>
          <w:tcPr>
            <w:tcW w:w="1549" w:type="dxa"/>
            <w:vMerge w:val="continue"/>
            <w:tcBorders>
              <w:left w:val="single" w:color="000000" w:sz="4" w:space="0"/>
              <w:bottom w:val="single" w:color="000000" w:sz="4" w:space="0"/>
              <w:right w:val="single" w:color="000000" w:sz="4" w:space="0"/>
            </w:tcBorders>
            <w:noWrap/>
            <w:vAlign w:val="center"/>
          </w:tcPr>
          <w:p w14:paraId="2944C894">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6480" w:type="dxa"/>
            <w:tcBorders>
              <w:top w:val="single" w:color="auto" w:sz="4" w:space="0"/>
              <w:left w:val="single" w:color="000000" w:sz="4" w:space="0"/>
              <w:bottom w:val="single" w:color="auto" w:sz="4" w:space="0"/>
              <w:right w:val="single" w:color="000000" w:sz="4" w:space="0"/>
            </w:tcBorders>
            <w:noWrap w:val="0"/>
            <w:vAlign w:val="center"/>
          </w:tcPr>
          <w:p w14:paraId="09587261">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 xml:space="preserve">13、显示器 </w:t>
            </w:r>
            <w:r>
              <w:rPr>
                <w:rFonts w:hint="eastAsia" w:ascii="宋体" w:hAnsi="宋体" w:eastAsia="宋体" w:cs="宋体"/>
                <w:b w:val="0"/>
                <w:bCs w:val="0"/>
                <w:color w:val="auto"/>
                <w:sz w:val="18"/>
                <w:szCs w:val="18"/>
                <w:highlight w:val="none"/>
                <w:lang w:val="en-US" w:eastAsia="zh-CN"/>
              </w:rPr>
              <w:t>≥23英寸LED显示器，</w:t>
            </w:r>
            <w:r>
              <w:rPr>
                <w:rFonts w:hint="eastAsia" w:ascii="宋体" w:hAnsi="宋体" w:eastAsia="宋体" w:cs="宋体"/>
                <w:color w:val="auto"/>
                <w:sz w:val="18"/>
                <w:szCs w:val="18"/>
                <w:highlight w:val="none"/>
                <w:lang w:val="en-US" w:eastAsia="zh-CN"/>
              </w:rPr>
              <w:t>分辨率≥2560 x 1440，响应时间5ms，具备VGA+HDMI视频接口，支持壁挂；</w:t>
            </w:r>
          </w:p>
        </w:tc>
        <w:tc>
          <w:tcPr>
            <w:tcW w:w="731" w:type="dxa"/>
            <w:vMerge w:val="continue"/>
            <w:tcBorders>
              <w:left w:val="single" w:color="000000" w:sz="4" w:space="0"/>
              <w:bottom w:val="single" w:color="000000" w:sz="4" w:space="0"/>
              <w:right w:val="single" w:color="000000" w:sz="4" w:space="0"/>
            </w:tcBorders>
            <w:noWrap/>
            <w:vAlign w:val="center"/>
          </w:tcPr>
          <w:p w14:paraId="60B55ACE">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774" w:type="dxa"/>
            <w:vMerge w:val="continue"/>
            <w:tcBorders>
              <w:left w:val="single" w:color="000000" w:sz="4" w:space="0"/>
              <w:bottom w:val="single" w:color="000000" w:sz="4" w:space="0"/>
              <w:right w:val="single" w:color="000000" w:sz="4" w:space="0"/>
            </w:tcBorders>
            <w:noWrap/>
            <w:vAlign w:val="center"/>
          </w:tcPr>
          <w:p w14:paraId="1F4F4E00">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1357" w:type="dxa"/>
            <w:tcBorders>
              <w:top w:val="single" w:color="auto" w:sz="4" w:space="0"/>
              <w:left w:val="single" w:color="000000" w:sz="4" w:space="0"/>
              <w:bottom w:val="single" w:color="auto" w:sz="4" w:space="0"/>
              <w:right w:val="single" w:color="auto" w:sz="4" w:space="0"/>
            </w:tcBorders>
            <w:noWrap w:val="0"/>
            <w:vAlign w:val="center"/>
          </w:tcPr>
          <w:p w14:paraId="7186E3BA">
            <w:pPr>
              <w:rPr>
                <w:rFonts w:hint="eastAsia" w:ascii="宋体" w:hAnsi="宋体" w:eastAsia="宋体" w:cs="宋体"/>
                <w:color w:val="auto"/>
                <w:sz w:val="22"/>
                <w:szCs w:val="22"/>
                <w:highlight w:val="none"/>
              </w:rPr>
            </w:pPr>
          </w:p>
        </w:tc>
        <w:tc>
          <w:tcPr>
            <w:tcW w:w="1241" w:type="dxa"/>
            <w:vMerge w:val="continue"/>
            <w:tcBorders>
              <w:left w:val="single" w:color="auto" w:sz="4" w:space="0"/>
              <w:bottom w:val="single" w:color="000000" w:sz="4" w:space="0"/>
              <w:right w:val="single" w:color="auto" w:sz="4" w:space="0"/>
            </w:tcBorders>
            <w:noWrap w:val="0"/>
            <w:vAlign w:val="center"/>
          </w:tcPr>
          <w:p w14:paraId="191B6AAE">
            <w:pPr>
              <w:rPr>
                <w:rFonts w:hint="eastAsia" w:ascii="宋体" w:hAnsi="宋体" w:eastAsia="宋体" w:cs="宋体"/>
                <w:color w:val="auto"/>
                <w:sz w:val="22"/>
                <w:szCs w:val="22"/>
                <w:highlight w:val="none"/>
              </w:rPr>
            </w:pPr>
          </w:p>
        </w:tc>
        <w:tc>
          <w:tcPr>
            <w:tcW w:w="1763" w:type="dxa"/>
            <w:tcBorders>
              <w:top w:val="single" w:color="auto" w:sz="4" w:space="0"/>
              <w:left w:val="single" w:color="auto" w:sz="4" w:space="0"/>
              <w:bottom w:val="single" w:color="auto" w:sz="4" w:space="0"/>
              <w:right w:val="single" w:color="auto" w:sz="4" w:space="0"/>
            </w:tcBorders>
            <w:noWrap w:val="0"/>
            <w:vAlign w:val="center"/>
          </w:tcPr>
          <w:p w14:paraId="5B2923E5">
            <w:pPr>
              <w:rPr>
                <w:rFonts w:hint="eastAsia" w:ascii="宋体" w:hAnsi="宋体" w:eastAsia="宋体" w:cs="宋体"/>
                <w:color w:val="auto"/>
                <w:sz w:val="22"/>
                <w:szCs w:val="22"/>
                <w:highlight w:val="none"/>
              </w:rPr>
            </w:pPr>
          </w:p>
        </w:tc>
      </w:tr>
      <w:tr w14:paraId="7172F5EA">
        <w:tblPrEx>
          <w:tblCellMar>
            <w:top w:w="0" w:type="dxa"/>
            <w:left w:w="108" w:type="dxa"/>
            <w:bottom w:w="0" w:type="dxa"/>
            <w:right w:w="108" w:type="dxa"/>
          </w:tblCellMar>
        </w:tblPrEx>
        <w:trPr>
          <w:trHeight w:val="400" w:hRule="atLeast"/>
          <w:jc w:val="center"/>
        </w:trPr>
        <w:tc>
          <w:tcPr>
            <w:tcW w:w="647" w:type="dxa"/>
            <w:vMerge w:val="continue"/>
            <w:tcBorders>
              <w:left w:val="single" w:color="000000" w:sz="4" w:space="0"/>
              <w:bottom w:val="single" w:color="000000" w:sz="4" w:space="0"/>
              <w:right w:val="single" w:color="000000" w:sz="4" w:space="0"/>
            </w:tcBorders>
            <w:noWrap/>
            <w:vAlign w:val="center"/>
          </w:tcPr>
          <w:p w14:paraId="1B96EA06">
            <w:pPr>
              <w:jc w:val="center"/>
              <w:textAlignment w:val="center"/>
              <w:rPr>
                <w:rFonts w:hint="eastAsia" w:ascii="宋体" w:hAnsi="宋体" w:eastAsia="宋体" w:cs="宋体"/>
                <w:color w:val="auto"/>
                <w:sz w:val="18"/>
                <w:szCs w:val="18"/>
                <w:highlight w:val="none"/>
                <w:lang w:bidi="ar"/>
              </w:rPr>
            </w:pPr>
          </w:p>
        </w:tc>
        <w:tc>
          <w:tcPr>
            <w:tcW w:w="1549" w:type="dxa"/>
            <w:vMerge w:val="continue"/>
            <w:tcBorders>
              <w:left w:val="single" w:color="000000" w:sz="4" w:space="0"/>
              <w:bottom w:val="single" w:color="000000" w:sz="4" w:space="0"/>
              <w:right w:val="single" w:color="000000" w:sz="4" w:space="0"/>
            </w:tcBorders>
            <w:noWrap/>
            <w:vAlign w:val="center"/>
          </w:tcPr>
          <w:p w14:paraId="7387AC08">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6480" w:type="dxa"/>
            <w:tcBorders>
              <w:top w:val="single" w:color="auto" w:sz="4" w:space="0"/>
              <w:left w:val="single" w:color="000000" w:sz="4" w:space="0"/>
              <w:bottom w:val="single" w:color="auto" w:sz="4" w:space="0"/>
              <w:right w:val="single" w:color="000000" w:sz="4" w:space="0"/>
            </w:tcBorders>
            <w:noWrap w:val="0"/>
            <w:vAlign w:val="center"/>
          </w:tcPr>
          <w:p w14:paraId="008AC3D7">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14、操作系统 预装WIN10 Pro 或优于WIN10 Pro操作系统</w:t>
            </w:r>
          </w:p>
        </w:tc>
        <w:tc>
          <w:tcPr>
            <w:tcW w:w="731" w:type="dxa"/>
            <w:vMerge w:val="continue"/>
            <w:tcBorders>
              <w:left w:val="single" w:color="000000" w:sz="4" w:space="0"/>
              <w:bottom w:val="single" w:color="000000" w:sz="4" w:space="0"/>
              <w:right w:val="single" w:color="000000" w:sz="4" w:space="0"/>
            </w:tcBorders>
            <w:noWrap/>
            <w:vAlign w:val="center"/>
          </w:tcPr>
          <w:p w14:paraId="0946EF94">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774" w:type="dxa"/>
            <w:vMerge w:val="continue"/>
            <w:tcBorders>
              <w:left w:val="single" w:color="000000" w:sz="4" w:space="0"/>
              <w:bottom w:val="single" w:color="000000" w:sz="4" w:space="0"/>
              <w:right w:val="single" w:color="000000" w:sz="4" w:space="0"/>
            </w:tcBorders>
            <w:noWrap/>
            <w:vAlign w:val="center"/>
          </w:tcPr>
          <w:p w14:paraId="4F925EAD">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1357" w:type="dxa"/>
            <w:tcBorders>
              <w:top w:val="single" w:color="auto" w:sz="4" w:space="0"/>
              <w:left w:val="single" w:color="000000" w:sz="4" w:space="0"/>
              <w:bottom w:val="single" w:color="auto" w:sz="4" w:space="0"/>
              <w:right w:val="single" w:color="auto" w:sz="4" w:space="0"/>
            </w:tcBorders>
            <w:noWrap w:val="0"/>
            <w:vAlign w:val="center"/>
          </w:tcPr>
          <w:p w14:paraId="15EA0791">
            <w:pPr>
              <w:rPr>
                <w:rFonts w:hint="eastAsia" w:ascii="宋体" w:hAnsi="宋体" w:eastAsia="宋体" w:cs="宋体"/>
                <w:color w:val="auto"/>
                <w:sz w:val="22"/>
                <w:szCs w:val="22"/>
                <w:highlight w:val="none"/>
              </w:rPr>
            </w:pPr>
          </w:p>
        </w:tc>
        <w:tc>
          <w:tcPr>
            <w:tcW w:w="1241" w:type="dxa"/>
            <w:vMerge w:val="continue"/>
            <w:tcBorders>
              <w:left w:val="single" w:color="auto" w:sz="4" w:space="0"/>
              <w:bottom w:val="single" w:color="000000" w:sz="4" w:space="0"/>
              <w:right w:val="single" w:color="auto" w:sz="4" w:space="0"/>
            </w:tcBorders>
            <w:noWrap w:val="0"/>
            <w:vAlign w:val="center"/>
          </w:tcPr>
          <w:p w14:paraId="4BB680E8">
            <w:pPr>
              <w:rPr>
                <w:rFonts w:hint="eastAsia" w:ascii="宋体" w:hAnsi="宋体" w:eastAsia="宋体" w:cs="宋体"/>
                <w:color w:val="auto"/>
                <w:sz w:val="22"/>
                <w:szCs w:val="22"/>
                <w:highlight w:val="none"/>
              </w:rPr>
            </w:pPr>
          </w:p>
        </w:tc>
        <w:tc>
          <w:tcPr>
            <w:tcW w:w="1763" w:type="dxa"/>
            <w:tcBorders>
              <w:top w:val="single" w:color="auto" w:sz="4" w:space="0"/>
              <w:left w:val="single" w:color="auto" w:sz="4" w:space="0"/>
              <w:bottom w:val="single" w:color="auto" w:sz="4" w:space="0"/>
              <w:right w:val="single" w:color="auto" w:sz="4" w:space="0"/>
            </w:tcBorders>
            <w:noWrap w:val="0"/>
            <w:vAlign w:val="center"/>
          </w:tcPr>
          <w:p w14:paraId="1B6B8FA9">
            <w:pPr>
              <w:rPr>
                <w:rFonts w:hint="eastAsia" w:ascii="宋体" w:hAnsi="宋体" w:eastAsia="宋体" w:cs="宋体"/>
                <w:color w:val="auto"/>
                <w:sz w:val="22"/>
                <w:szCs w:val="22"/>
                <w:highlight w:val="none"/>
              </w:rPr>
            </w:pPr>
          </w:p>
        </w:tc>
      </w:tr>
      <w:tr w14:paraId="2FFF91BD">
        <w:tblPrEx>
          <w:tblCellMar>
            <w:top w:w="0" w:type="dxa"/>
            <w:left w:w="108" w:type="dxa"/>
            <w:bottom w:w="0" w:type="dxa"/>
            <w:right w:w="108" w:type="dxa"/>
          </w:tblCellMar>
        </w:tblPrEx>
        <w:trPr>
          <w:trHeight w:val="487" w:hRule="atLeast"/>
          <w:jc w:val="center"/>
        </w:trPr>
        <w:tc>
          <w:tcPr>
            <w:tcW w:w="647" w:type="dxa"/>
            <w:vMerge w:val="continue"/>
            <w:tcBorders>
              <w:left w:val="single" w:color="000000" w:sz="4" w:space="0"/>
              <w:bottom w:val="single" w:color="000000" w:sz="4" w:space="0"/>
              <w:right w:val="single" w:color="000000" w:sz="4" w:space="0"/>
            </w:tcBorders>
            <w:noWrap/>
            <w:vAlign w:val="center"/>
          </w:tcPr>
          <w:p w14:paraId="031C8E59">
            <w:pPr>
              <w:jc w:val="center"/>
              <w:textAlignment w:val="center"/>
              <w:rPr>
                <w:rFonts w:hint="eastAsia" w:ascii="宋体" w:hAnsi="宋体" w:eastAsia="宋体" w:cs="宋体"/>
                <w:color w:val="auto"/>
                <w:sz w:val="18"/>
                <w:szCs w:val="18"/>
                <w:highlight w:val="none"/>
                <w:lang w:bidi="ar"/>
              </w:rPr>
            </w:pPr>
          </w:p>
        </w:tc>
        <w:tc>
          <w:tcPr>
            <w:tcW w:w="1549" w:type="dxa"/>
            <w:vMerge w:val="continue"/>
            <w:tcBorders>
              <w:left w:val="single" w:color="000000" w:sz="4" w:space="0"/>
              <w:bottom w:val="single" w:color="000000" w:sz="4" w:space="0"/>
              <w:right w:val="single" w:color="000000" w:sz="4" w:space="0"/>
            </w:tcBorders>
            <w:noWrap/>
            <w:vAlign w:val="center"/>
          </w:tcPr>
          <w:p w14:paraId="378248C4">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6480" w:type="dxa"/>
            <w:tcBorders>
              <w:top w:val="single" w:color="auto" w:sz="4" w:space="0"/>
              <w:left w:val="single" w:color="000000" w:sz="4" w:space="0"/>
              <w:bottom w:val="single" w:color="000000" w:sz="4" w:space="0"/>
              <w:right w:val="single" w:color="000000" w:sz="4" w:space="0"/>
            </w:tcBorders>
            <w:noWrap w:val="0"/>
            <w:vAlign w:val="center"/>
          </w:tcPr>
          <w:p w14:paraId="5CD561F1">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15、保修：整机提供两年质保及免费上门服务。</w:t>
            </w:r>
          </w:p>
        </w:tc>
        <w:tc>
          <w:tcPr>
            <w:tcW w:w="731" w:type="dxa"/>
            <w:vMerge w:val="continue"/>
            <w:tcBorders>
              <w:left w:val="single" w:color="000000" w:sz="4" w:space="0"/>
              <w:bottom w:val="single" w:color="000000" w:sz="4" w:space="0"/>
              <w:right w:val="single" w:color="000000" w:sz="4" w:space="0"/>
            </w:tcBorders>
            <w:noWrap/>
            <w:vAlign w:val="center"/>
          </w:tcPr>
          <w:p w14:paraId="624CDD75">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774" w:type="dxa"/>
            <w:vMerge w:val="continue"/>
            <w:tcBorders>
              <w:left w:val="single" w:color="000000" w:sz="4" w:space="0"/>
              <w:bottom w:val="single" w:color="000000" w:sz="4" w:space="0"/>
              <w:right w:val="single" w:color="000000" w:sz="4" w:space="0"/>
            </w:tcBorders>
            <w:noWrap/>
            <w:vAlign w:val="center"/>
          </w:tcPr>
          <w:p w14:paraId="36DC573B">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p>
        </w:tc>
        <w:tc>
          <w:tcPr>
            <w:tcW w:w="1357" w:type="dxa"/>
            <w:tcBorders>
              <w:top w:val="single" w:color="auto" w:sz="4" w:space="0"/>
              <w:left w:val="single" w:color="000000" w:sz="4" w:space="0"/>
              <w:bottom w:val="single" w:color="auto" w:sz="4" w:space="0"/>
              <w:right w:val="single" w:color="auto" w:sz="4" w:space="0"/>
            </w:tcBorders>
            <w:noWrap w:val="0"/>
            <w:vAlign w:val="center"/>
          </w:tcPr>
          <w:p w14:paraId="729241F3">
            <w:pPr>
              <w:rPr>
                <w:rFonts w:hint="eastAsia" w:ascii="宋体" w:hAnsi="宋体" w:eastAsia="宋体" w:cs="宋体"/>
                <w:color w:val="auto"/>
                <w:sz w:val="22"/>
                <w:szCs w:val="22"/>
                <w:highlight w:val="none"/>
              </w:rPr>
            </w:pPr>
          </w:p>
        </w:tc>
        <w:tc>
          <w:tcPr>
            <w:tcW w:w="1241" w:type="dxa"/>
            <w:vMerge w:val="continue"/>
            <w:tcBorders>
              <w:left w:val="single" w:color="auto" w:sz="4" w:space="0"/>
              <w:bottom w:val="single" w:color="000000" w:sz="4" w:space="0"/>
              <w:right w:val="single" w:color="auto" w:sz="4" w:space="0"/>
            </w:tcBorders>
            <w:noWrap w:val="0"/>
            <w:vAlign w:val="center"/>
          </w:tcPr>
          <w:p w14:paraId="279ECCA9">
            <w:pPr>
              <w:rPr>
                <w:rFonts w:hint="eastAsia" w:ascii="宋体" w:hAnsi="宋体" w:eastAsia="宋体" w:cs="宋体"/>
                <w:color w:val="auto"/>
                <w:sz w:val="22"/>
                <w:szCs w:val="22"/>
                <w:highlight w:val="none"/>
              </w:rPr>
            </w:pPr>
          </w:p>
        </w:tc>
        <w:tc>
          <w:tcPr>
            <w:tcW w:w="1763" w:type="dxa"/>
            <w:tcBorders>
              <w:top w:val="single" w:color="auto" w:sz="4" w:space="0"/>
              <w:left w:val="single" w:color="auto" w:sz="4" w:space="0"/>
              <w:bottom w:val="single" w:color="000000" w:sz="4" w:space="0"/>
              <w:right w:val="single" w:color="000000" w:sz="4" w:space="0"/>
            </w:tcBorders>
            <w:noWrap w:val="0"/>
            <w:vAlign w:val="center"/>
          </w:tcPr>
          <w:p w14:paraId="5F9E853B">
            <w:pPr>
              <w:rPr>
                <w:rFonts w:hint="eastAsia" w:ascii="宋体" w:hAnsi="宋体" w:eastAsia="宋体" w:cs="宋体"/>
                <w:color w:val="auto"/>
                <w:sz w:val="22"/>
                <w:szCs w:val="22"/>
                <w:highlight w:val="none"/>
              </w:rPr>
            </w:pPr>
          </w:p>
        </w:tc>
      </w:tr>
      <w:tr w14:paraId="320FCF68">
        <w:tblPrEx>
          <w:tblCellMar>
            <w:top w:w="0" w:type="dxa"/>
            <w:left w:w="108" w:type="dxa"/>
            <w:bottom w:w="0" w:type="dxa"/>
            <w:right w:w="108" w:type="dxa"/>
          </w:tblCellMar>
        </w:tblPrEx>
        <w:trPr>
          <w:trHeight w:val="499" w:hRule="atLeast"/>
          <w:jc w:val="center"/>
        </w:trPr>
        <w:tc>
          <w:tcPr>
            <w:tcW w:w="647" w:type="dxa"/>
            <w:tcBorders>
              <w:top w:val="single" w:color="000000" w:sz="4" w:space="0"/>
              <w:left w:val="single" w:color="000000" w:sz="4" w:space="0"/>
              <w:bottom w:val="single" w:color="000000" w:sz="4" w:space="0"/>
              <w:right w:val="single" w:color="000000" w:sz="4" w:space="0"/>
            </w:tcBorders>
            <w:noWrap/>
            <w:vAlign w:val="center"/>
          </w:tcPr>
          <w:p w14:paraId="04651A39">
            <w:pPr>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0A7D6242">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正版同传还原软件</w:t>
            </w:r>
          </w:p>
        </w:tc>
        <w:tc>
          <w:tcPr>
            <w:tcW w:w="6480" w:type="dxa"/>
            <w:tcBorders>
              <w:top w:val="single" w:color="000000" w:sz="4" w:space="0"/>
              <w:left w:val="single" w:color="000000" w:sz="4" w:space="0"/>
              <w:bottom w:val="single" w:color="000000" w:sz="4" w:space="0"/>
              <w:right w:val="single" w:color="000000" w:sz="4" w:space="0"/>
            </w:tcBorders>
            <w:noWrap w:val="0"/>
            <w:vAlign w:val="center"/>
          </w:tcPr>
          <w:p w14:paraId="02CAF345">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网络同传 出厂预装硬盘版网络同传软件，</w:t>
            </w:r>
          </w:p>
          <w:p w14:paraId="3B8924B2">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1、</w:t>
            </w:r>
            <w:r>
              <w:rPr>
                <w:rFonts w:hint="eastAsia" w:ascii="宋体" w:hAnsi="宋体" w:eastAsia="宋体" w:cs="宋体"/>
                <w:color w:val="auto"/>
                <w:sz w:val="18"/>
                <w:szCs w:val="18"/>
                <w:highlight w:val="none"/>
                <w:lang w:val="en-US" w:eastAsia="zh-CN"/>
              </w:rPr>
              <w:t>保护/恢复数据：可对单分区、多分区经行快速保护和快速恢复数据。并且隐藏启动界面，隐藏操作员界面，隐藏恢复进度条。</w:t>
            </w:r>
          </w:p>
          <w:p w14:paraId="2C58BC39">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2、</w:t>
            </w:r>
            <w:r>
              <w:rPr>
                <w:rFonts w:hint="eastAsia" w:ascii="宋体" w:hAnsi="宋体" w:eastAsia="宋体" w:cs="宋体"/>
                <w:color w:val="auto"/>
                <w:sz w:val="18"/>
                <w:szCs w:val="18"/>
                <w:highlight w:val="none"/>
                <w:lang w:val="en-US" w:eastAsia="zh-CN"/>
              </w:rPr>
              <w:t>智能同传：安装部署方便，支持传统BIOS主板及UEFI主板；支持XP、Windows7 32/64、Windows8 32/64、Windows10 32/64、Windows11等操作系统；</w:t>
            </w:r>
          </w:p>
          <w:p w14:paraId="5CC55A64">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3、</w:t>
            </w:r>
            <w:r>
              <w:rPr>
                <w:rFonts w:hint="eastAsia" w:ascii="宋体" w:hAnsi="宋体" w:eastAsia="宋体" w:cs="宋体"/>
                <w:color w:val="auto"/>
                <w:sz w:val="18"/>
                <w:szCs w:val="18"/>
                <w:highlight w:val="none"/>
                <w:lang w:val="en-US" w:eastAsia="zh-CN"/>
              </w:rPr>
              <w:t>网络对拷：支持PXE网卡引导，需同传的机子不管有没有系统都可进行快速部署。即使接收端硬盘状态不一，也能“增量对拷”，并智能化计算后传送最少数据量。</w:t>
            </w:r>
          </w:p>
          <w:p w14:paraId="570A205D">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4、</w:t>
            </w:r>
            <w:r>
              <w:rPr>
                <w:rFonts w:hint="eastAsia" w:ascii="宋体" w:hAnsi="宋体" w:eastAsia="宋体" w:cs="宋体"/>
                <w:color w:val="auto"/>
                <w:sz w:val="18"/>
                <w:szCs w:val="18"/>
                <w:highlight w:val="none"/>
                <w:lang w:val="en-US" w:eastAsia="zh-CN"/>
              </w:rPr>
              <w:t>本地硬盘复制:同时支持本地1对3块硬盘复制，可以一对三进行硬盘对拷完，方便少数故障机快速恢复正常状态。系统克隆：在同一块硬盘上可以同时复制多个相同的操作系统到其他分区。可以在一块硬盘上克隆多个系统，快速部署，满足不同场景下的教学环境需求。</w:t>
            </w:r>
          </w:p>
          <w:p w14:paraId="39679636">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5、</w:t>
            </w:r>
            <w:r>
              <w:rPr>
                <w:rFonts w:hint="eastAsia" w:ascii="宋体" w:hAnsi="宋体" w:eastAsia="宋体" w:cs="宋体"/>
                <w:color w:val="auto"/>
                <w:sz w:val="18"/>
                <w:szCs w:val="18"/>
                <w:highlight w:val="none"/>
                <w:lang w:val="en-US" w:eastAsia="zh-CN"/>
              </w:rPr>
              <w:t>远程锁定：管理端可远程锁定客户端的鼠标、键盘或屏幕。</w:t>
            </w:r>
            <w:r>
              <w:rPr>
                <w:rFonts w:hint="eastAsia" w:ascii="宋体" w:hAnsi="宋体" w:eastAsia="宋体" w:cs="宋体"/>
                <w:color w:val="auto"/>
                <w:sz w:val="18"/>
                <w:szCs w:val="18"/>
                <w:highlight w:val="none"/>
                <w:lang w:val="en-US" w:eastAsia="zh-CN"/>
              </w:rPr>
              <w:tab/>
            </w:r>
          </w:p>
          <w:p w14:paraId="3545D99F">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6、</w:t>
            </w:r>
            <w:r>
              <w:rPr>
                <w:rFonts w:hint="eastAsia" w:ascii="宋体" w:hAnsi="宋体" w:eastAsia="宋体" w:cs="宋体"/>
                <w:color w:val="auto"/>
                <w:sz w:val="18"/>
                <w:szCs w:val="18"/>
                <w:highlight w:val="none"/>
                <w:lang w:val="en-US" w:eastAsia="zh-CN"/>
              </w:rPr>
              <w:t>排程设置：设定时间后自动开机进行网络同传，完成后所有计算机自动关机。</w:t>
            </w:r>
          </w:p>
          <w:p w14:paraId="555FBC61">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7、</w:t>
            </w:r>
            <w:r>
              <w:rPr>
                <w:rFonts w:hint="eastAsia" w:ascii="宋体" w:hAnsi="宋体" w:eastAsia="宋体" w:cs="宋体"/>
                <w:color w:val="auto"/>
                <w:sz w:val="18"/>
                <w:szCs w:val="18"/>
                <w:highlight w:val="none"/>
                <w:lang w:val="en-US" w:eastAsia="zh-CN"/>
              </w:rPr>
              <w:t>资产管理:管理端可对客户端的软硬件信息进行资产盘点，并导出Doc或Excel文件以便保存。</w:t>
            </w:r>
          </w:p>
          <w:p w14:paraId="0B8855AE">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8、</w:t>
            </w:r>
            <w:r>
              <w:rPr>
                <w:rFonts w:hint="eastAsia" w:ascii="宋体" w:hAnsi="宋体" w:eastAsia="宋体" w:cs="宋体"/>
                <w:color w:val="auto"/>
                <w:sz w:val="18"/>
                <w:szCs w:val="18"/>
                <w:highlight w:val="none"/>
                <w:lang w:val="en-US" w:eastAsia="zh-CN"/>
              </w:rPr>
              <w:t>产品升级：管理端可下发升级包在几分钟内就升级所有客户端程序。</w:t>
            </w:r>
          </w:p>
          <w:p w14:paraId="7828F37A">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9、</w:t>
            </w:r>
            <w:r>
              <w:rPr>
                <w:rFonts w:hint="eastAsia" w:ascii="宋体" w:hAnsi="宋体" w:eastAsia="宋体" w:cs="宋体"/>
                <w:color w:val="auto"/>
                <w:sz w:val="18"/>
                <w:szCs w:val="18"/>
                <w:highlight w:val="none"/>
                <w:lang w:val="en-US" w:eastAsia="zh-CN"/>
              </w:rPr>
              <w:t>电子教室：软件含电子教室功能，实现课堂教学老师对学生广播教学、学生演示、网页广播、电子点名、提交作业等多项教学互动功能。</w:t>
            </w:r>
          </w:p>
          <w:p w14:paraId="2A4B75DA">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10、</w:t>
            </w:r>
            <w:r>
              <w:rPr>
                <w:rFonts w:hint="eastAsia" w:ascii="宋体" w:hAnsi="宋体" w:eastAsia="宋体" w:cs="宋体"/>
                <w:color w:val="auto"/>
                <w:sz w:val="18"/>
                <w:szCs w:val="18"/>
                <w:highlight w:val="none"/>
                <w:lang w:val="en-US" w:eastAsia="zh-CN"/>
              </w:rPr>
              <w:t>客户端搜索：管理端可以抓取该局域网内的所有客户端，即便该客户端已登入其他管理端。便于一次性管理所有电脑教室。将系统被使用的情况都记录在日志文件内，以供需要时查询。</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7E27A2BC">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6F0941FD">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套（120点位）</w:t>
            </w:r>
          </w:p>
        </w:tc>
        <w:tc>
          <w:tcPr>
            <w:tcW w:w="1357" w:type="dxa"/>
            <w:tcBorders>
              <w:top w:val="single" w:color="auto" w:sz="4" w:space="0"/>
              <w:left w:val="single" w:color="000000" w:sz="4" w:space="0"/>
              <w:bottom w:val="single" w:color="000000" w:sz="4" w:space="0"/>
              <w:right w:val="single" w:color="auto" w:sz="4" w:space="0"/>
            </w:tcBorders>
            <w:noWrap w:val="0"/>
            <w:vAlign w:val="center"/>
          </w:tcPr>
          <w:p w14:paraId="0796A5B0">
            <w:pPr>
              <w:rPr>
                <w:rFonts w:hint="eastAsia" w:ascii="宋体" w:hAnsi="宋体" w:eastAsia="宋体" w:cs="宋体"/>
                <w:color w:val="auto"/>
                <w:sz w:val="22"/>
                <w:szCs w:val="22"/>
                <w:highlight w:val="none"/>
                <w:lang w:val="en-US" w:eastAsia="zh-CN"/>
              </w:rPr>
            </w:pPr>
          </w:p>
        </w:tc>
        <w:tc>
          <w:tcPr>
            <w:tcW w:w="1241" w:type="dxa"/>
            <w:tcBorders>
              <w:top w:val="single" w:color="000000" w:sz="4" w:space="0"/>
              <w:left w:val="single" w:color="auto" w:sz="4" w:space="0"/>
              <w:bottom w:val="single" w:color="000000" w:sz="4" w:space="0"/>
              <w:right w:val="single" w:color="auto" w:sz="4" w:space="0"/>
            </w:tcBorders>
            <w:noWrap w:val="0"/>
            <w:vAlign w:val="center"/>
          </w:tcPr>
          <w:p w14:paraId="4977DA74">
            <w:pPr>
              <w:rPr>
                <w:rFonts w:hint="eastAsia" w:ascii="宋体" w:hAnsi="宋体" w:eastAsia="宋体" w:cs="宋体"/>
                <w:color w:val="auto"/>
                <w:sz w:val="22"/>
                <w:szCs w:val="22"/>
                <w:highlight w:val="none"/>
                <w:lang w:val="en-US" w:eastAsia="zh-CN"/>
              </w:rPr>
            </w:pPr>
          </w:p>
        </w:tc>
        <w:tc>
          <w:tcPr>
            <w:tcW w:w="1763" w:type="dxa"/>
            <w:tcBorders>
              <w:top w:val="single" w:color="000000" w:sz="4" w:space="0"/>
              <w:left w:val="single" w:color="auto" w:sz="4" w:space="0"/>
              <w:bottom w:val="single" w:color="000000" w:sz="4" w:space="0"/>
              <w:right w:val="single" w:color="000000" w:sz="4" w:space="0"/>
            </w:tcBorders>
            <w:noWrap w:val="0"/>
            <w:vAlign w:val="center"/>
          </w:tcPr>
          <w:p w14:paraId="46C45874">
            <w:pPr>
              <w:rPr>
                <w:rFonts w:hint="eastAsia" w:ascii="宋体" w:hAnsi="宋体" w:eastAsia="宋体" w:cs="宋体"/>
                <w:color w:val="auto"/>
                <w:sz w:val="22"/>
                <w:szCs w:val="22"/>
                <w:highlight w:val="none"/>
                <w:lang w:val="en-US" w:eastAsia="zh-CN"/>
              </w:rPr>
            </w:pPr>
          </w:p>
        </w:tc>
      </w:tr>
      <w:tr w14:paraId="18C91D8F">
        <w:tblPrEx>
          <w:tblCellMar>
            <w:top w:w="0" w:type="dxa"/>
            <w:left w:w="108" w:type="dxa"/>
            <w:bottom w:w="0" w:type="dxa"/>
            <w:right w:w="108" w:type="dxa"/>
          </w:tblCellMar>
        </w:tblPrEx>
        <w:trPr>
          <w:trHeight w:val="499" w:hRule="atLeast"/>
          <w:jc w:val="center"/>
        </w:trPr>
        <w:tc>
          <w:tcPr>
            <w:tcW w:w="647" w:type="dxa"/>
            <w:tcBorders>
              <w:top w:val="single" w:color="000000" w:sz="4" w:space="0"/>
              <w:left w:val="single" w:color="000000" w:sz="4" w:space="0"/>
              <w:bottom w:val="single" w:color="000000" w:sz="4" w:space="0"/>
              <w:right w:val="single" w:color="000000" w:sz="4" w:space="0"/>
            </w:tcBorders>
            <w:noWrap/>
            <w:vAlign w:val="center"/>
          </w:tcPr>
          <w:p w14:paraId="52DDCA6B">
            <w:pPr>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26C10DB8">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电子教室</w:t>
            </w:r>
          </w:p>
        </w:tc>
        <w:tc>
          <w:tcPr>
            <w:tcW w:w="6480" w:type="dxa"/>
            <w:tcBorders>
              <w:top w:val="single" w:color="000000" w:sz="4" w:space="0"/>
              <w:left w:val="single" w:color="000000" w:sz="4" w:space="0"/>
              <w:bottom w:val="single" w:color="000000" w:sz="4" w:space="0"/>
              <w:right w:val="single" w:color="000000" w:sz="4" w:space="0"/>
            </w:tcBorders>
            <w:noWrap w:val="0"/>
            <w:vAlign w:val="center"/>
          </w:tcPr>
          <w:p w14:paraId="5BCDA0AA">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1、屏幕广播：将教师机屏幕和教师讲话实时广播给单一、部分或全体学生，可选择全屏或窗口方式。</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2、共享白板：教师可共享白板、桌面或图片与选定的学生共同完成相同的学习任务或绘画作品，提供学生也可以单独完成。</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3、网络影院：实现教师机播放的视频同步广播到学生机。</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4、屏幕录制：教师机可以将本地的操作和讲解过程录制为mp4录像文件，可以用 Windows 自带的 Media Player 直接播放。</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5、学生端屏幕录制、回放：学生端接收教师端广播的时候可以自动录制教师机广播教学的过程，课后可以重复观看学习。</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文件分发：允许教师将教师机不同盘符中的目录或文件一起发送至生机的某目录下。目录不存在自动新建此目录；盘符不存在或路径非法不允许分发；文件已存在选择自动覆盖或保留原始文件。</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6、文件提交：学生把做好的作业直接提交到教师机，方便教师批改作业要收取的麻烦。</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7、屏幕监视：教师机可以监视单一、部分、全体学生机的屏幕，教师机每屏可监视多个学生屏幕（方便监视操作及查看）。可以控制教师机监控的同屏幕各窗口间、屏幕与屏幕间的切换速度。可手动或自动循环监视。</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8、网页限制：设定学生访问网站的黑名单或白名单，对学生可以访问的Internet站点进行管理。支持多浏览器限制，如QQ、IE、谷歌、360、遨游等浏览器。</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9、程序限制：通过各种策略的应用，可防止学生在教学过程中打游戏，或使用QQ，MSN等聊天工具，支持限制U盘，网络映射盘，硬盘虚拟盘，虚拟光盘，内存虚拟盘里的程序。</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10、自动锁屏：独有的断线保护自动锁屏技术，通过网卡的是否激活来锁定屏幕，避免学生拔掉网线违反纪律。</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11、防杀进程：为安全起见，学生端程序运行后，防止学生通过任务管理器结束学生端程序进程来逃脱教师控制。</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请求帮助：学生端遇到问题可请求帮助，教师端可远程遥控帮助学生解决问题。</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3F61843E">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7797B94A">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套（120点位）</w:t>
            </w:r>
          </w:p>
        </w:tc>
        <w:tc>
          <w:tcPr>
            <w:tcW w:w="1357" w:type="dxa"/>
            <w:tcBorders>
              <w:top w:val="single" w:color="000000" w:sz="4" w:space="0"/>
              <w:left w:val="single" w:color="000000" w:sz="4" w:space="0"/>
              <w:bottom w:val="single" w:color="000000" w:sz="4" w:space="0"/>
              <w:right w:val="single" w:color="auto" w:sz="4" w:space="0"/>
            </w:tcBorders>
            <w:noWrap w:val="0"/>
            <w:vAlign w:val="center"/>
          </w:tcPr>
          <w:p w14:paraId="1716CEFF">
            <w:pPr>
              <w:rPr>
                <w:rFonts w:hint="eastAsia" w:ascii="宋体" w:hAnsi="宋体" w:eastAsia="宋体" w:cs="宋体"/>
                <w:color w:val="auto"/>
                <w:sz w:val="22"/>
                <w:szCs w:val="22"/>
                <w:highlight w:val="none"/>
              </w:rPr>
            </w:pPr>
          </w:p>
        </w:tc>
        <w:tc>
          <w:tcPr>
            <w:tcW w:w="1241" w:type="dxa"/>
            <w:tcBorders>
              <w:top w:val="single" w:color="000000" w:sz="4" w:space="0"/>
              <w:left w:val="single" w:color="auto" w:sz="4" w:space="0"/>
              <w:bottom w:val="single" w:color="000000" w:sz="4" w:space="0"/>
              <w:right w:val="single" w:color="auto" w:sz="4" w:space="0"/>
            </w:tcBorders>
            <w:noWrap w:val="0"/>
            <w:vAlign w:val="center"/>
          </w:tcPr>
          <w:p w14:paraId="1A744CAE">
            <w:pPr>
              <w:rPr>
                <w:rFonts w:hint="eastAsia" w:ascii="宋体" w:hAnsi="宋体" w:eastAsia="宋体" w:cs="宋体"/>
                <w:color w:val="auto"/>
                <w:sz w:val="22"/>
                <w:szCs w:val="22"/>
                <w:highlight w:val="none"/>
              </w:rPr>
            </w:pPr>
          </w:p>
        </w:tc>
        <w:tc>
          <w:tcPr>
            <w:tcW w:w="1763" w:type="dxa"/>
            <w:tcBorders>
              <w:top w:val="single" w:color="000000" w:sz="4" w:space="0"/>
              <w:left w:val="single" w:color="auto" w:sz="4" w:space="0"/>
              <w:bottom w:val="single" w:color="000000" w:sz="4" w:space="0"/>
              <w:right w:val="single" w:color="000000" w:sz="4" w:space="0"/>
            </w:tcBorders>
            <w:noWrap w:val="0"/>
            <w:vAlign w:val="center"/>
          </w:tcPr>
          <w:p w14:paraId="79DC933E">
            <w:pPr>
              <w:rPr>
                <w:rFonts w:hint="eastAsia" w:ascii="宋体" w:hAnsi="宋体" w:eastAsia="宋体" w:cs="宋体"/>
                <w:color w:val="auto"/>
                <w:sz w:val="22"/>
                <w:szCs w:val="22"/>
                <w:highlight w:val="none"/>
              </w:rPr>
            </w:pPr>
          </w:p>
        </w:tc>
      </w:tr>
      <w:tr w14:paraId="255F2C6E">
        <w:tblPrEx>
          <w:tblCellMar>
            <w:top w:w="0" w:type="dxa"/>
            <w:left w:w="108" w:type="dxa"/>
            <w:bottom w:w="0" w:type="dxa"/>
            <w:right w:w="108" w:type="dxa"/>
          </w:tblCellMar>
        </w:tblPrEx>
        <w:trPr>
          <w:trHeight w:val="499" w:hRule="atLeast"/>
          <w:jc w:val="center"/>
        </w:trPr>
        <w:tc>
          <w:tcPr>
            <w:tcW w:w="647" w:type="dxa"/>
            <w:tcBorders>
              <w:top w:val="single" w:color="000000" w:sz="4" w:space="0"/>
              <w:left w:val="single" w:color="000000" w:sz="4" w:space="0"/>
              <w:bottom w:val="single" w:color="000000" w:sz="4" w:space="0"/>
              <w:right w:val="single" w:color="000000" w:sz="4" w:space="0"/>
            </w:tcBorders>
            <w:noWrap/>
            <w:vAlign w:val="center"/>
          </w:tcPr>
          <w:p w14:paraId="6C758C11">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667A29CC">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智能交互平板</w:t>
            </w:r>
          </w:p>
        </w:tc>
        <w:tc>
          <w:tcPr>
            <w:tcW w:w="6480" w:type="dxa"/>
            <w:tcBorders>
              <w:top w:val="single" w:color="000000" w:sz="4" w:space="0"/>
              <w:left w:val="single" w:color="000000" w:sz="4" w:space="0"/>
              <w:bottom w:val="single" w:color="000000" w:sz="4" w:space="0"/>
              <w:right w:val="single" w:color="000000" w:sz="4" w:space="0"/>
            </w:tcBorders>
            <w:noWrap w:val="0"/>
            <w:vAlign w:val="center"/>
          </w:tcPr>
          <w:p w14:paraId="42CF3B6A">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1.智能交互平板显示尺寸≥86英寸，分辨率≥3840*2160，采用红外触控技术，在双系统下均支持20点同时触控及书写，智能交互平板显示部分需采用高色彩覆盖技术，NTSC色域标准下覆盖率不低于95%。</w:t>
            </w:r>
          </w:p>
          <w:p w14:paraId="41848029">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2.设备采用物理减滤蓝光设计，无需其他的多余按键操作即可实现防蓝光，有效保护用眼健康，通过扫描设备自带的二维码可获取检测机构的认证信息。</w:t>
            </w:r>
          </w:p>
          <w:p w14:paraId="200EEADE">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3.为方便外接信号源的输入以及满足数据的高速传输需求，设备至少1路前置HDMI接口（非转接）、2路前置USB3.0接口1路Type-C接口，同时为方便用户外接拓展设备，整机标配1路VGA输入接口。</w:t>
            </w:r>
          </w:p>
          <w:p w14:paraId="18CBF972">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 xml:space="preserve">4.为方便用户进行各类设置和操作，设备前置按键不少于7个，可快速进行音量加减、窗口关闭、触控开关等功能的设置和调用，且均具备按键复用功能。 </w:t>
            </w:r>
          </w:p>
          <w:p w14:paraId="0E4431EB">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5.内置电脑</w:t>
            </w:r>
          </w:p>
          <w:p w14:paraId="60AED702">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⑴采用80pin Intel通用标准接口,即插即用，易于维护；</w:t>
            </w:r>
          </w:p>
          <w:p w14:paraId="36AA447E">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⑵CPU采用Intel第11代及以上平台处理器酷睿I5处理器；</w:t>
            </w:r>
          </w:p>
          <w:p w14:paraId="303AED00">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 xml:space="preserve">⑶内存：不低于8G DDR4；硬盘：不低于256G SSD固态硬盘； </w:t>
            </w:r>
          </w:p>
          <w:p w14:paraId="70DA6B05">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⑷接口：整机非外扩展具备5个USB接口；具有独立非外扩展的视频输出接口：1路HDMI等。</w:t>
            </w:r>
          </w:p>
          <w:p w14:paraId="4832BD9E">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6.保修：整机提供3年质保及免费上门服务。</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4F1964F3">
            <w:pPr>
              <w:keepNext w:val="0"/>
              <w:keepLines w:val="0"/>
              <w:pageBreakBefore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3B46148D">
            <w:pPr>
              <w:keepNext w:val="0"/>
              <w:keepLines w:val="0"/>
              <w:pageBreakBefore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台</w:t>
            </w:r>
          </w:p>
        </w:tc>
        <w:tc>
          <w:tcPr>
            <w:tcW w:w="1357" w:type="dxa"/>
            <w:tcBorders>
              <w:top w:val="single" w:color="000000" w:sz="4" w:space="0"/>
              <w:left w:val="single" w:color="000000" w:sz="4" w:space="0"/>
              <w:bottom w:val="single" w:color="000000" w:sz="4" w:space="0"/>
              <w:right w:val="single" w:color="auto" w:sz="4" w:space="0"/>
            </w:tcBorders>
            <w:noWrap/>
            <w:vAlign w:val="center"/>
          </w:tcPr>
          <w:p w14:paraId="4B62C726">
            <w:pPr>
              <w:rPr>
                <w:rFonts w:hint="eastAsia" w:ascii="宋体" w:hAnsi="宋体" w:eastAsia="宋体" w:cs="宋体"/>
                <w:color w:val="auto"/>
                <w:sz w:val="22"/>
                <w:szCs w:val="22"/>
                <w:highlight w:val="none"/>
              </w:rPr>
            </w:pPr>
          </w:p>
        </w:tc>
        <w:tc>
          <w:tcPr>
            <w:tcW w:w="1241" w:type="dxa"/>
            <w:tcBorders>
              <w:top w:val="single" w:color="000000" w:sz="4" w:space="0"/>
              <w:left w:val="single" w:color="auto" w:sz="4" w:space="0"/>
              <w:bottom w:val="single" w:color="000000" w:sz="4" w:space="0"/>
              <w:right w:val="single" w:color="auto" w:sz="4" w:space="0"/>
            </w:tcBorders>
            <w:noWrap/>
            <w:vAlign w:val="center"/>
          </w:tcPr>
          <w:p w14:paraId="277A5E18">
            <w:pPr>
              <w:rPr>
                <w:rFonts w:hint="eastAsia" w:ascii="宋体" w:hAnsi="宋体" w:eastAsia="宋体" w:cs="宋体"/>
                <w:color w:val="auto"/>
                <w:sz w:val="22"/>
                <w:szCs w:val="22"/>
                <w:highlight w:val="none"/>
              </w:rPr>
            </w:pPr>
          </w:p>
        </w:tc>
        <w:tc>
          <w:tcPr>
            <w:tcW w:w="1763" w:type="dxa"/>
            <w:tcBorders>
              <w:top w:val="single" w:color="000000" w:sz="4" w:space="0"/>
              <w:left w:val="single" w:color="auto" w:sz="4" w:space="0"/>
              <w:bottom w:val="single" w:color="000000" w:sz="4" w:space="0"/>
              <w:right w:val="single" w:color="000000" w:sz="4" w:space="0"/>
            </w:tcBorders>
            <w:noWrap/>
            <w:vAlign w:val="center"/>
          </w:tcPr>
          <w:p w14:paraId="5459BE8B">
            <w:pPr>
              <w:rPr>
                <w:rFonts w:hint="eastAsia" w:ascii="宋体" w:hAnsi="宋体" w:eastAsia="宋体" w:cs="宋体"/>
                <w:color w:val="auto"/>
                <w:sz w:val="22"/>
                <w:szCs w:val="22"/>
                <w:highlight w:val="none"/>
              </w:rPr>
            </w:pPr>
          </w:p>
        </w:tc>
      </w:tr>
      <w:tr w14:paraId="23B34774">
        <w:tblPrEx>
          <w:tblCellMar>
            <w:top w:w="0" w:type="dxa"/>
            <w:left w:w="108" w:type="dxa"/>
            <w:bottom w:w="0" w:type="dxa"/>
            <w:right w:w="108" w:type="dxa"/>
          </w:tblCellMar>
        </w:tblPrEx>
        <w:trPr>
          <w:trHeight w:val="5679" w:hRule="atLeast"/>
          <w:jc w:val="center"/>
        </w:trPr>
        <w:tc>
          <w:tcPr>
            <w:tcW w:w="647" w:type="dxa"/>
            <w:tcBorders>
              <w:top w:val="single" w:color="000000" w:sz="4" w:space="0"/>
              <w:left w:val="single" w:color="000000" w:sz="4" w:space="0"/>
              <w:bottom w:val="single" w:color="000000" w:sz="4" w:space="0"/>
              <w:right w:val="single" w:color="000000" w:sz="4" w:space="0"/>
            </w:tcBorders>
            <w:noWrap/>
            <w:vAlign w:val="center"/>
          </w:tcPr>
          <w:p w14:paraId="7668DB45">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5</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40DAA078">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电脑桌面开关</w:t>
            </w:r>
          </w:p>
        </w:tc>
        <w:tc>
          <w:tcPr>
            <w:tcW w:w="6480" w:type="dxa"/>
            <w:tcBorders>
              <w:top w:val="single" w:color="000000" w:sz="4" w:space="0"/>
              <w:left w:val="single" w:color="000000" w:sz="4" w:space="0"/>
              <w:bottom w:val="single" w:color="000000" w:sz="4" w:space="0"/>
              <w:right w:val="single" w:color="000000" w:sz="4" w:space="0"/>
            </w:tcBorders>
            <w:noWrap w:val="0"/>
            <w:vAlign w:val="center"/>
          </w:tcPr>
          <w:p w14:paraId="5A081FE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5" w:leftChars="0" w:hanging="425"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1.</w:t>
            </w:r>
            <w:r>
              <w:rPr>
                <w:rFonts w:hint="eastAsia" w:ascii="宋体" w:hAnsi="宋体" w:eastAsia="宋体" w:cs="宋体"/>
                <w:color w:val="auto"/>
                <w:sz w:val="18"/>
                <w:szCs w:val="18"/>
                <w:highlight w:val="none"/>
                <w:lang w:val="en-US" w:eastAsia="zh-CN"/>
              </w:rPr>
              <w:t>电源开关：必备功能，用于开启或关闭机箱电源。</w:t>
            </w:r>
          </w:p>
          <w:p w14:paraId="10866E49">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5" w:leftChars="0" w:hanging="425"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2.</w:t>
            </w:r>
            <w:r>
              <w:rPr>
                <w:rFonts w:hint="eastAsia" w:ascii="宋体" w:hAnsi="宋体" w:eastAsia="宋体" w:cs="宋体"/>
                <w:color w:val="auto"/>
                <w:sz w:val="18"/>
                <w:szCs w:val="18"/>
                <w:highlight w:val="none"/>
                <w:lang w:val="en-US" w:eastAsia="zh-CN"/>
              </w:rPr>
              <w:t>复位开关：大部分机箱具备，用于在系统出现故障时重启电脑。</w:t>
            </w:r>
          </w:p>
          <w:p w14:paraId="6BADDC58">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5" w:leftChars="0" w:hanging="425"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3.</w:t>
            </w:r>
            <w:r>
              <w:rPr>
                <w:rFonts w:hint="eastAsia" w:ascii="宋体" w:hAnsi="宋体" w:eastAsia="宋体" w:cs="宋体"/>
                <w:color w:val="auto"/>
                <w:sz w:val="18"/>
                <w:szCs w:val="18"/>
                <w:highlight w:val="none"/>
                <w:lang w:val="en-US" w:eastAsia="zh-CN"/>
              </w:rPr>
              <w:t>电源指示灯：单个 LED 灯，通常为绿色或白色，当指示灯亮起时，表示系统已通电。</w:t>
            </w:r>
          </w:p>
          <w:p w14:paraId="388E4E7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5" w:leftChars="0" w:hanging="425"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4.</w:t>
            </w:r>
            <w:r>
              <w:rPr>
                <w:rFonts w:hint="eastAsia" w:ascii="宋体" w:hAnsi="宋体" w:eastAsia="宋体" w:cs="宋体"/>
                <w:color w:val="auto"/>
                <w:sz w:val="18"/>
                <w:szCs w:val="18"/>
                <w:highlight w:val="none"/>
                <w:lang w:val="en-US" w:eastAsia="zh-CN"/>
              </w:rPr>
              <w:t>硬盘活动指示灯：单个 LED 灯，通常为红色，当指示灯闪烁时，表示硬盘正在进行读写操作。</w:t>
            </w:r>
          </w:p>
          <w:p w14:paraId="0F4886F8">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5" w:leftChars="0" w:hanging="425"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5.</w:t>
            </w:r>
            <w:r>
              <w:rPr>
                <w:rFonts w:hint="eastAsia" w:ascii="宋体" w:hAnsi="宋体" w:eastAsia="宋体" w:cs="宋体"/>
                <w:color w:val="auto"/>
                <w:sz w:val="18"/>
                <w:szCs w:val="18"/>
                <w:highlight w:val="none"/>
                <w:lang w:val="en-US" w:eastAsia="zh-CN"/>
              </w:rPr>
              <w:t>前置音频接口：采用 3.5mm 规格，包含耳机插孔和麦克风插孔，方便用户连接音频设备。</w:t>
            </w:r>
          </w:p>
          <w:p w14:paraId="0A1D2859">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5" w:leftChars="0" w:hanging="425"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6.</w:t>
            </w:r>
            <w:r>
              <w:rPr>
                <w:rFonts w:hint="eastAsia" w:ascii="宋体" w:hAnsi="宋体" w:eastAsia="宋体" w:cs="宋体"/>
                <w:color w:val="auto"/>
                <w:sz w:val="18"/>
                <w:szCs w:val="18"/>
                <w:highlight w:val="none"/>
                <w:lang w:val="en-US" w:eastAsia="zh-CN"/>
              </w:rPr>
              <w:t>前置 USB 接口：</w:t>
            </w:r>
          </w:p>
          <w:p w14:paraId="602F0E5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5" w:leftChars="0" w:hanging="425"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USB 2.0 接口：传输速度相对较慢，适用于连接对传输速度要求不高的设备。</w:t>
            </w:r>
          </w:p>
          <w:p w14:paraId="0896D67A">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5" w:leftChars="0" w:hanging="425"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USB 3.0 接口：接口颜色通常为蓝色（Type-A 口），传输速度比 USB 2.0 快。</w:t>
            </w:r>
          </w:p>
          <w:p w14:paraId="7B528091">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5" w:leftChars="0" w:hanging="425"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USB 3.1 / 3.2 Gen 1 / Gen 2 接口：在传输速度上有所提升，满足不同设备的数据传输需求。</w:t>
            </w:r>
          </w:p>
          <w:p w14:paraId="5AAC9E3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5" w:leftChars="0" w:hanging="425"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7.</w:t>
            </w:r>
            <w:r>
              <w:rPr>
                <w:rFonts w:hint="eastAsia" w:ascii="宋体" w:hAnsi="宋体" w:eastAsia="宋体" w:cs="宋体"/>
                <w:color w:val="auto"/>
                <w:sz w:val="18"/>
                <w:szCs w:val="18"/>
                <w:highlight w:val="none"/>
                <w:lang w:val="en-US" w:eastAsia="zh-CN"/>
              </w:rPr>
              <w:t>安装方式通常有两种：</w:t>
            </w:r>
          </w:p>
          <w:p w14:paraId="0E5A26C5">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5" w:leftChars="0" w:hanging="425"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卡扣式：通过模块自身的卡扣结构，直接卡在机箱前面板的开孔处，安装和拆卸较为便捷。</w:t>
            </w:r>
          </w:p>
          <w:p w14:paraId="67B52D66">
            <w:pPr>
              <w:pStyle w:val="639"/>
              <w:keepNext w:val="0"/>
              <w:keepLines w:val="0"/>
              <w:pageBreakBefore w:val="0"/>
              <w:numPr>
                <w:ilvl w:val="0"/>
                <w:numId w:val="0"/>
              </w:numPr>
              <w:kinsoku/>
              <w:wordWrap/>
              <w:overflowPunct/>
              <w:topLinePunct w:val="0"/>
              <w:autoSpaceDE/>
              <w:autoSpaceDN/>
              <w:bidi w:val="0"/>
              <w:adjustRightInd/>
              <w:snapToGrid/>
              <w:spacing w:line="300" w:lineRule="exact"/>
              <w:ind w:left="0" w:leftChars="0" w:firstLine="0" w:firstLineChars="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螺丝固定：使用螺丝将开关模块固定在机箱前面板上，这种安装方式更为稳固，可有效防止模块松动。</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40DB8253">
            <w:pPr>
              <w:keepNext w:val="0"/>
              <w:keepLines w:val="0"/>
              <w:pageBreakBefore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120</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3388DAAA">
            <w:pPr>
              <w:keepNext w:val="0"/>
              <w:keepLines w:val="0"/>
              <w:pageBreakBefore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个</w:t>
            </w:r>
          </w:p>
        </w:tc>
        <w:tc>
          <w:tcPr>
            <w:tcW w:w="1357" w:type="dxa"/>
            <w:tcBorders>
              <w:top w:val="single" w:color="000000" w:sz="4" w:space="0"/>
              <w:left w:val="single" w:color="000000" w:sz="4" w:space="0"/>
              <w:bottom w:val="single" w:color="000000" w:sz="4" w:space="0"/>
              <w:right w:val="single" w:color="auto" w:sz="4" w:space="0"/>
            </w:tcBorders>
            <w:noWrap/>
            <w:vAlign w:val="center"/>
          </w:tcPr>
          <w:p w14:paraId="15B8AA49">
            <w:pPr>
              <w:rPr>
                <w:rFonts w:hint="eastAsia" w:ascii="宋体" w:hAnsi="宋体" w:eastAsia="宋体" w:cs="宋体"/>
                <w:color w:val="auto"/>
                <w:sz w:val="22"/>
                <w:szCs w:val="22"/>
                <w:highlight w:val="none"/>
              </w:rPr>
            </w:pPr>
          </w:p>
        </w:tc>
        <w:tc>
          <w:tcPr>
            <w:tcW w:w="1241" w:type="dxa"/>
            <w:tcBorders>
              <w:top w:val="single" w:color="000000" w:sz="4" w:space="0"/>
              <w:left w:val="single" w:color="auto" w:sz="4" w:space="0"/>
              <w:bottom w:val="single" w:color="000000" w:sz="4" w:space="0"/>
              <w:right w:val="single" w:color="auto" w:sz="4" w:space="0"/>
            </w:tcBorders>
            <w:noWrap/>
            <w:vAlign w:val="center"/>
          </w:tcPr>
          <w:p w14:paraId="260F2EF2">
            <w:pPr>
              <w:rPr>
                <w:rFonts w:hint="eastAsia" w:ascii="宋体" w:hAnsi="宋体" w:eastAsia="宋体" w:cs="宋体"/>
                <w:color w:val="auto"/>
                <w:sz w:val="22"/>
                <w:szCs w:val="22"/>
                <w:highlight w:val="none"/>
              </w:rPr>
            </w:pPr>
          </w:p>
        </w:tc>
        <w:tc>
          <w:tcPr>
            <w:tcW w:w="1763" w:type="dxa"/>
            <w:tcBorders>
              <w:top w:val="single" w:color="000000" w:sz="4" w:space="0"/>
              <w:left w:val="single" w:color="auto" w:sz="4" w:space="0"/>
              <w:bottom w:val="single" w:color="000000" w:sz="4" w:space="0"/>
              <w:right w:val="single" w:color="000000" w:sz="4" w:space="0"/>
            </w:tcBorders>
            <w:noWrap/>
            <w:vAlign w:val="center"/>
          </w:tcPr>
          <w:p w14:paraId="7FCC753F">
            <w:pPr>
              <w:rPr>
                <w:rFonts w:hint="eastAsia" w:ascii="宋体" w:hAnsi="宋体" w:eastAsia="宋体" w:cs="宋体"/>
                <w:color w:val="auto"/>
                <w:sz w:val="22"/>
                <w:szCs w:val="22"/>
                <w:highlight w:val="none"/>
              </w:rPr>
            </w:pPr>
          </w:p>
        </w:tc>
      </w:tr>
      <w:tr w14:paraId="519027A5">
        <w:tblPrEx>
          <w:tblCellMar>
            <w:top w:w="0" w:type="dxa"/>
            <w:left w:w="108" w:type="dxa"/>
            <w:bottom w:w="0" w:type="dxa"/>
            <w:right w:w="108" w:type="dxa"/>
          </w:tblCellMar>
        </w:tblPrEx>
        <w:trPr>
          <w:trHeight w:val="499" w:hRule="atLeast"/>
          <w:jc w:val="center"/>
        </w:trPr>
        <w:tc>
          <w:tcPr>
            <w:tcW w:w="14542" w:type="dxa"/>
            <w:gridSpan w:val="8"/>
            <w:tcBorders>
              <w:top w:val="single" w:color="000000" w:sz="4" w:space="0"/>
              <w:left w:val="single" w:color="000000" w:sz="4" w:space="0"/>
              <w:bottom w:val="single" w:color="000000" w:sz="4" w:space="0"/>
              <w:right w:val="single" w:color="000000" w:sz="4" w:space="0"/>
            </w:tcBorders>
            <w:noWrap/>
            <w:vAlign w:val="center"/>
          </w:tcPr>
          <w:p w14:paraId="588DA582">
            <w:pPr>
              <w:keepNext w:val="0"/>
              <w:keepLines w:val="0"/>
              <w:pageBreakBefore w:val="0"/>
              <w:widowControl w:val="0"/>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b/>
                <w:bCs/>
                <w:color w:val="auto"/>
                <w:sz w:val="21"/>
                <w:szCs w:val="21"/>
                <w:highlight w:val="none"/>
                <w:lang w:val="en-US" w:eastAsia="zh-CN"/>
              </w:rPr>
              <w:t>（二）实训室配套清单</w:t>
            </w:r>
          </w:p>
        </w:tc>
      </w:tr>
      <w:tr w14:paraId="0C30BBEB">
        <w:tblPrEx>
          <w:tblCellMar>
            <w:top w:w="0" w:type="dxa"/>
            <w:left w:w="108" w:type="dxa"/>
            <w:bottom w:w="0" w:type="dxa"/>
            <w:right w:w="108" w:type="dxa"/>
          </w:tblCellMar>
        </w:tblPrEx>
        <w:trPr>
          <w:trHeight w:val="499" w:hRule="atLeast"/>
          <w:jc w:val="center"/>
        </w:trPr>
        <w:tc>
          <w:tcPr>
            <w:tcW w:w="647" w:type="dxa"/>
            <w:tcBorders>
              <w:top w:val="single" w:color="000000" w:sz="4" w:space="0"/>
              <w:left w:val="single" w:color="000000" w:sz="4" w:space="0"/>
              <w:bottom w:val="single" w:color="000000" w:sz="4" w:space="0"/>
              <w:right w:val="single" w:color="000000" w:sz="4" w:space="0"/>
            </w:tcBorders>
            <w:noWrap/>
            <w:vAlign w:val="center"/>
          </w:tcPr>
          <w:p w14:paraId="4357CBCC">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33943DB6">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安装施工</w:t>
            </w:r>
          </w:p>
        </w:tc>
        <w:tc>
          <w:tcPr>
            <w:tcW w:w="6480" w:type="dxa"/>
            <w:tcBorders>
              <w:top w:val="single" w:color="000000" w:sz="4" w:space="0"/>
              <w:left w:val="single" w:color="000000" w:sz="4" w:space="0"/>
              <w:bottom w:val="single" w:color="000000" w:sz="4" w:space="0"/>
              <w:right w:val="single" w:color="000000" w:sz="4" w:space="0"/>
            </w:tcBorders>
            <w:noWrap w:val="0"/>
            <w:vAlign w:val="center"/>
          </w:tcPr>
          <w:p w14:paraId="47C482D4">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1、</w:t>
            </w:r>
            <w:r>
              <w:rPr>
                <w:rFonts w:hint="eastAsia" w:ascii="宋体" w:hAnsi="宋体" w:eastAsia="宋体" w:cs="宋体"/>
                <w:color w:val="auto"/>
                <w:sz w:val="18"/>
                <w:szCs w:val="18"/>
                <w:highlight w:val="none"/>
                <w:lang w:val="en-US" w:eastAsia="zh-CN"/>
              </w:rPr>
              <w:t>包含Aol电箱移位改造、4㎡电线、超五类网线、8芯光缆、满配终端盒、熔接、跳纤。</w:t>
            </w:r>
          </w:p>
          <w:p w14:paraId="04DFC040">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2、</w:t>
            </w:r>
            <w:r>
              <w:rPr>
                <w:rFonts w:hint="eastAsia" w:ascii="宋体" w:hAnsi="宋体" w:eastAsia="宋体" w:cs="宋体"/>
                <w:color w:val="auto"/>
                <w:sz w:val="18"/>
                <w:szCs w:val="18"/>
                <w:highlight w:val="none"/>
                <w:lang w:val="en-US" w:eastAsia="zh-CN"/>
              </w:rPr>
              <w:t>墙面处理（刮白粉刷处理）、PVC管材以及相应辅材。</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16D9C0C7">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76FE1C61">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间</w:t>
            </w:r>
          </w:p>
        </w:tc>
        <w:tc>
          <w:tcPr>
            <w:tcW w:w="1357" w:type="dxa"/>
            <w:tcBorders>
              <w:top w:val="single" w:color="000000" w:sz="4" w:space="0"/>
              <w:left w:val="single" w:color="000000" w:sz="4" w:space="0"/>
              <w:bottom w:val="single" w:color="000000" w:sz="4" w:space="0"/>
              <w:right w:val="single" w:color="auto" w:sz="4" w:space="0"/>
            </w:tcBorders>
            <w:noWrap/>
            <w:vAlign w:val="center"/>
          </w:tcPr>
          <w:p w14:paraId="27D0B338">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rPr>
            </w:pPr>
          </w:p>
        </w:tc>
        <w:tc>
          <w:tcPr>
            <w:tcW w:w="1241" w:type="dxa"/>
            <w:tcBorders>
              <w:top w:val="single" w:color="000000" w:sz="4" w:space="0"/>
              <w:left w:val="single" w:color="auto" w:sz="4" w:space="0"/>
              <w:bottom w:val="single" w:color="000000" w:sz="4" w:space="0"/>
              <w:right w:val="single" w:color="auto" w:sz="4" w:space="0"/>
            </w:tcBorders>
            <w:noWrap/>
            <w:vAlign w:val="center"/>
          </w:tcPr>
          <w:p w14:paraId="6C736AF6">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rPr>
            </w:pPr>
          </w:p>
        </w:tc>
        <w:tc>
          <w:tcPr>
            <w:tcW w:w="1763" w:type="dxa"/>
            <w:tcBorders>
              <w:top w:val="single" w:color="000000" w:sz="4" w:space="0"/>
              <w:left w:val="single" w:color="auto" w:sz="4" w:space="0"/>
              <w:bottom w:val="single" w:color="000000" w:sz="4" w:space="0"/>
              <w:right w:val="single" w:color="000000" w:sz="4" w:space="0"/>
            </w:tcBorders>
            <w:noWrap/>
            <w:vAlign w:val="center"/>
          </w:tcPr>
          <w:p w14:paraId="3DFBB3DB">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rPr>
            </w:pPr>
          </w:p>
        </w:tc>
      </w:tr>
      <w:tr w14:paraId="011FC1D6">
        <w:tblPrEx>
          <w:tblCellMar>
            <w:top w:w="0" w:type="dxa"/>
            <w:left w:w="108" w:type="dxa"/>
            <w:bottom w:w="0" w:type="dxa"/>
            <w:right w:w="108" w:type="dxa"/>
          </w:tblCellMar>
        </w:tblPrEx>
        <w:trPr>
          <w:trHeight w:val="499" w:hRule="atLeast"/>
          <w:jc w:val="center"/>
        </w:trPr>
        <w:tc>
          <w:tcPr>
            <w:tcW w:w="647" w:type="dxa"/>
            <w:tcBorders>
              <w:top w:val="single" w:color="000000" w:sz="4" w:space="0"/>
              <w:left w:val="single" w:color="000000" w:sz="4" w:space="0"/>
              <w:bottom w:val="single" w:color="000000" w:sz="4" w:space="0"/>
              <w:right w:val="single" w:color="000000" w:sz="4" w:space="0"/>
            </w:tcBorders>
            <w:noWrap/>
            <w:vAlign w:val="center"/>
          </w:tcPr>
          <w:p w14:paraId="4D40C868">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1F137215">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综合布线以及安装调试</w:t>
            </w:r>
          </w:p>
        </w:tc>
        <w:tc>
          <w:tcPr>
            <w:tcW w:w="6480" w:type="dxa"/>
            <w:tcBorders>
              <w:top w:val="single" w:color="000000" w:sz="4" w:space="0"/>
              <w:left w:val="single" w:color="000000" w:sz="4" w:space="0"/>
              <w:bottom w:val="single" w:color="000000" w:sz="4" w:space="0"/>
              <w:right w:val="single" w:color="000000" w:sz="4" w:space="0"/>
            </w:tcBorders>
            <w:noWrap w:val="0"/>
            <w:vAlign w:val="center"/>
          </w:tcPr>
          <w:p w14:paraId="2458D8FB">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所需的2.5㎡、4㎡强电线缆，六类网线弱电线缆以及相应的公牛排插等辅材，搬运安装调试</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62A72180">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64EF6D27">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批</w:t>
            </w:r>
          </w:p>
        </w:tc>
        <w:tc>
          <w:tcPr>
            <w:tcW w:w="1357" w:type="dxa"/>
            <w:tcBorders>
              <w:top w:val="single" w:color="000000" w:sz="4" w:space="0"/>
              <w:left w:val="single" w:color="000000" w:sz="4" w:space="0"/>
              <w:bottom w:val="single" w:color="000000" w:sz="4" w:space="0"/>
              <w:right w:val="single" w:color="auto" w:sz="4" w:space="0"/>
            </w:tcBorders>
            <w:noWrap/>
            <w:vAlign w:val="center"/>
          </w:tcPr>
          <w:p w14:paraId="4909E8FF">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rPr>
            </w:pPr>
          </w:p>
        </w:tc>
        <w:tc>
          <w:tcPr>
            <w:tcW w:w="1241" w:type="dxa"/>
            <w:tcBorders>
              <w:top w:val="single" w:color="000000" w:sz="4" w:space="0"/>
              <w:left w:val="single" w:color="auto" w:sz="4" w:space="0"/>
              <w:bottom w:val="single" w:color="000000" w:sz="4" w:space="0"/>
              <w:right w:val="single" w:color="auto" w:sz="4" w:space="0"/>
            </w:tcBorders>
            <w:noWrap/>
            <w:vAlign w:val="center"/>
          </w:tcPr>
          <w:p w14:paraId="3D7306B0">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rPr>
            </w:pPr>
          </w:p>
        </w:tc>
        <w:tc>
          <w:tcPr>
            <w:tcW w:w="1763" w:type="dxa"/>
            <w:tcBorders>
              <w:top w:val="single" w:color="000000" w:sz="4" w:space="0"/>
              <w:left w:val="single" w:color="auto" w:sz="4" w:space="0"/>
              <w:bottom w:val="single" w:color="000000" w:sz="4" w:space="0"/>
              <w:right w:val="single" w:color="000000" w:sz="4" w:space="0"/>
            </w:tcBorders>
            <w:noWrap/>
            <w:vAlign w:val="center"/>
          </w:tcPr>
          <w:p w14:paraId="414E77F1">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rPr>
            </w:pPr>
          </w:p>
        </w:tc>
      </w:tr>
      <w:tr w14:paraId="6DD612E6">
        <w:tblPrEx>
          <w:tblCellMar>
            <w:top w:w="0" w:type="dxa"/>
            <w:left w:w="108" w:type="dxa"/>
            <w:bottom w:w="0" w:type="dxa"/>
            <w:right w:w="108" w:type="dxa"/>
          </w:tblCellMar>
        </w:tblPrEx>
        <w:trPr>
          <w:trHeight w:val="499" w:hRule="atLeast"/>
          <w:jc w:val="center"/>
        </w:trPr>
        <w:tc>
          <w:tcPr>
            <w:tcW w:w="647" w:type="dxa"/>
            <w:tcBorders>
              <w:top w:val="single" w:color="000000" w:sz="4" w:space="0"/>
              <w:left w:val="single" w:color="000000" w:sz="4" w:space="0"/>
              <w:bottom w:val="single" w:color="000000" w:sz="4" w:space="0"/>
              <w:right w:val="single" w:color="000000" w:sz="4" w:space="0"/>
            </w:tcBorders>
            <w:noWrap/>
            <w:vAlign w:val="center"/>
          </w:tcPr>
          <w:p w14:paraId="70274685">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694683B6">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机柜</w:t>
            </w:r>
          </w:p>
        </w:tc>
        <w:tc>
          <w:tcPr>
            <w:tcW w:w="6480" w:type="dxa"/>
            <w:tcBorders>
              <w:top w:val="single" w:color="000000" w:sz="4" w:space="0"/>
              <w:left w:val="single" w:color="000000" w:sz="4" w:space="0"/>
              <w:bottom w:val="single" w:color="000000" w:sz="4" w:space="0"/>
              <w:right w:val="single" w:color="000000" w:sz="4" w:space="0"/>
            </w:tcBorders>
            <w:noWrap w:val="0"/>
            <w:vAlign w:val="center"/>
          </w:tcPr>
          <w:p w14:paraId="0FC1F9FE">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1、参数要求</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lang w:val="en-US" w:eastAsia="zh-CN" w:bidi="ar"/>
              </w:rPr>
              <w:t>600*800*1200mm，整体框架结构，材料：框架: SPCC优质冷轧钢板；厚度：方孔条</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lang w:val="en-US" w:eastAsia="zh-CN" w:bidi="ar"/>
              </w:rPr>
              <w:t>2.0mm，安装梁</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lang w:val="en-US" w:eastAsia="zh-CN" w:bidi="ar"/>
              </w:rPr>
              <w:t>1.2mm，侧门</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lang w:val="en-US" w:eastAsia="zh-CN" w:bidi="ar"/>
              </w:rPr>
              <w:t>1.0mm，其它</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lang w:val="en-US" w:eastAsia="zh-CN" w:bidi="ar"/>
              </w:rPr>
              <w:t>1.2mm；高级旋把门锁。承重</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lang w:val="en-US" w:eastAsia="zh-CN" w:bidi="ar"/>
              </w:rPr>
              <w:t>800kg.整体机架，前后网孔门，机柜顶部四个全静音风扇，保证内部良好通风及散热，封闭式电缆管理，电缆从顶部或底部进入；侧门可拆卸。在前后门安装6个缓冲垫，有明显的提示标签，机柜带有独立防静电接地系统系统，安装立柱可调整，可提供机柜并柜件。</w:t>
            </w:r>
          </w:p>
          <w:p w14:paraId="3D943542">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2、配件：一个10A6位PDU电源，3个层板，4个风扇，40套M6卡扣安装螺丝，地脚螺钉4颗。</w:t>
            </w:r>
          </w:p>
          <w:p w14:paraId="501E9800">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0"/>
                <w:sz w:val="18"/>
                <w:szCs w:val="18"/>
                <w:highlight w:val="none"/>
                <w:lang w:val="en-US" w:eastAsia="zh-CN" w:bidi="ar"/>
              </w:rPr>
              <w:t>3、质量保障：制造商通过国际质量体系ISO9000、CE、ROHS等认证。</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349B52E6">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41B1F260">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个</w:t>
            </w:r>
          </w:p>
        </w:tc>
        <w:tc>
          <w:tcPr>
            <w:tcW w:w="1357" w:type="dxa"/>
            <w:tcBorders>
              <w:top w:val="single" w:color="000000" w:sz="4" w:space="0"/>
              <w:left w:val="single" w:color="000000" w:sz="4" w:space="0"/>
              <w:bottom w:val="single" w:color="000000" w:sz="4" w:space="0"/>
              <w:right w:val="single" w:color="auto" w:sz="4" w:space="0"/>
            </w:tcBorders>
            <w:noWrap/>
            <w:vAlign w:val="center"/>
          </w:tcPr>
          <w:p w14:paraId="5C00D3D5">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rPr>
            </w:pPr>
          </w:p>
        </w:tc>
        <w:tc>
          <w:tcPr>
            <w:tcW w:w="1241" w:type="dxa"/>
            <w:tcBorders>
              <w:top w:val="single" w:color="000000" w:sz="4" w:space="0"/>
              <w:left w:val="single" w:color="auto" w:sz="4" w:space="0"/>
              <w:bottom w:val="single" w:color="000000" w:sz="4" w:space="0"/>
              <w:right w:val="single" w:color="auto" w:sz="4" w:space="0"/>
            </w:tcBorders>
            <w:noWrap/>
            <w:vAlign w:val="center"/>
          </w:tcPr>
          <w:p w14:paraId="3A498E3D">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rPr>
            </w:pPr>
          </w:p>
        </w:tc>
        <w:tc>
          <w:tcPr>
            <w:tcW w:w="1763" w:type="dxa"/>
            <w:tcBorders>
              <w:top w:val="single" w:color="000000" w:sz="4" w:space="0"/>
              <w:left w:val="single" w:color="auto" w:sz="4" w:space="0"/>
              <w:bottom w:val="single" w:color="000000" w:sz="4" w:space="0"/>
              <w:right w:val="single" w:color="000000" w:sz="4" w:space="0"/>
            </w:tcBorders>
            <w:noWrap/>
            <w:vAlign w:val="center"/>
          </w:tcPr>
          <w:p w14:paraId="618B8AB6">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rPr>
            </w:pPr>
          </w:p>
        </w:tc>
      </w:tr>
      <w:tr w14:paraId="078AF93D">
        <w:tblPrEx>
          <w:tblCellMar>
            <w:top w:w="0" w:type="dxa"/>
            <w:left w:w="108" w:type="dxa"/>
            <w:bottom w:w="0" w:type="dxa"/>
            <w:right w:w="108" w:type="dxa"/>
          </w:tblCellMar>
        </w:tblPrEx>
        <w:trPr>
          <w:trHeight w:val="549" w:hRule="atLeast"/>
          <w:jc w:val="center"/>
        </w:trPr>
        <w:tc>
          <w:tcPr>
            <w:tcW w:w="647" w:type="dxa"/>
            <w:tcBorders>
              <w:top w:val="single" w:color="000000" w:sz="4" w:space="0"/>
              <w:left w:val="single" w:color="000000" w:sz="4" w:space="0"/>
              <w:bottom w:val="single" w:color="000000" w:sz="4" w:space="0"/>
              <w:right w:val="single" w:color="000000" w:sz="4" w:space="0"/>
            </w:tcBorders>
            <w:noWrap/>
            <w:vAlign w:val="center"/>
          </w:tcPr>
          <w:p w14:paraId="76F68420">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3FA24D92">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交换机</w:t>
            </w:r>
          </w:p>
        </w:tc>
        <w:tc>
          <w:tcPr>
            <w:tcW w:w="6480" w:type="dxa"/>
            <w:tcBorders>
              <w:top w:val="single" w:color="000000" w:sz="4" w:space="0"/>
              <w:left w:val="single" w:color="000000" w:sz="4" w:space="0"/>
              <w:bottom w:val="single" w:color="000000" w:sz="4" w:space="0"/>
              <w:right w:val="single" w:color="000000" w:sz="4" w:space="0"/>
            </w:tcBorders>
            <w:noWrap w:val="0"/>
            <w:vAlign w:val="center"/>
          </w:tcPr>
          <w:p w14:paraId="38F994C8">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1.交换容量</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eastAsia="宋体" w:cs="宋体"/>
                <w:color w:val="auto"/>
                <w:sz w:val="18"/>
                <w:szCs w:val="18"/>
                <w:highlight w:val="none"/>
                <w:lang w:val="en-US" w:eastAsia="zh-CN"/>
              </w:rPr>
              <w:t>396GT，包转发率≥570Mpps（若官网有A/B两值，以小值为准）；</w:t>
            </w:r>
          </w:p>
          <w:p w14:paraId="0190DBA6">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2.24口10/100/1000Mbps自适应电口交换机，固化4个SFP千兆光口；</w:t>
            </w:r>
          </w:p>
          <w:p w14:paraId="0D2D8831">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3.支持RIP，OSPF，BGP，RIPng，OSPFv3，BGP4+；</w:t>
            </w:r>
          </w:p>
          <w:p w14:paraId="74EEFB16">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4.支持端口镜像功能，支持多对一端口镜像及一对多端口镜像，支持跨交换机的远程端口镜像功能RSPAN，支持聚合链路的镜像。</w:t>
            </w:r>
          </w:p>
          <w:p w14:paraId="004F61BB">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5. 品牌要求 ：投标产品须为国际或国内主流网络设备品牌。</w:t>
            </w:r>
          </w:p>
          <w:p w14:paraId="275FC827">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 软件升级 ：供应商须承诺在质保期内免费提供最新的稳定版操作系统/固件。</w:t>
            </w:r>
          </w:p>
          <w:p w14:paraId="39BCC814">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7. 质保服务 ：提供原厂3年及以上质保。</w:t>
            </w:r>
          </w:p>
          <w:p w14:paraId="4E6CE62F">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8. 认证要求 ：签订合同时需提供 3C认证证书。</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7BEAA79F">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555CDA4A">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台</w:t>
            </w:r>
          </w:p>
        </w:tc>
        <w:tc>
          <w:tcPr>
            <w:tcW w:w="1357" w:type="dxa"/>
            <w:tcBorders>
              <w:top w:val="single" w:color="000000" w:sz="4" w:space="0"/>
              <w:left w:val="single" w:color="000000" w:sz="4" w:space="0"/>
              <w:bottom w:val="single" w:color="000000" w:sz="4" w:space="0"/>
              <w:right w:val="single" w:color="auto" w:sz="4" w:space="0"/>
            </w:tcBorders>
            <w:noWrap/>
            <w:vAlign w:val="center"/>
          </w:tcPr>
          <w:p w14:paraId="559F291C">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rPr>
            </w:pPr>
          </w:p>
        </w:tc>
        <w:tc>
          <w:tcPr>
            <w:tcW w:w="1241" w:type="dxa"/>
            <w:tcBorders>
              <w:top w:val="single" w:color="000000" w:sz="4" w:space="0"/>
              <w:left w:val="single" w:color="auto" w:sz="4" w:space="0"/>
              <w:bottom w:val="single" w:color="000000" w:sz="4" w:space="0"/>
              <w:right w:val="single" w:color="auto" w:sz="4" w:space="0"/>
            </w:tcBorders>
            <w:noWrap/>
            <w:vAlign w:val="center"/>
          </w:tcPr>
          <w:p w14:paraId="3BE4A4B6">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rPr>
            </w:pPr>
          </w:p>
        </w:tc>
        <w:tc>
          <w:tcPr>
            <w:tcW w:w="1763" w:type="dxa"/>
            <w:tcBorders>
              <w:top w:val="single" w:color="000000" w:sz="4" w:space="0"/>
              <w:left w:val="single" w:color="auto" w:sz="4" w:space="0"/>
              <w:bottom w:val="single" w:color="000000" w:sz="4" w:space="0"/>
              <w:right w:val="single" w:color="000000" w:sz="4" w:space="0"/>
            </w:tcBorders>
            <w:noWrap/>
            <w:vAlign w:val="center"/>
          </w:tcPr>
          <w:p w14:paraId="30104CB9">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rPr>
            </w:pPr>
          </w:p>
        </w:tc>
      </w:tr>
      <w:tr w14:paraId="5EA9EFA0">
        <w:tblPrEx>
          <w:tblCellMar>
            <w:top w:w="0" w:type="dxa"/>
            <w:left w:w="108" w:type="dxa"/>
            <w:bottom w:w="0" w:type="dxa"/>
            <w:right w:w="108" w:type="dxa"/>
          </w:tblCellMar>
        </w:tblPrEx>
        <w:trPr>
          <w:trHeight w:val="499" w:hRule="atLeast"/>
          <w:jc w:val="center"/>
        </w:trPr>
        <w:tc>
          <w:tcPr>
            <w:tcW w:w="647" w:type="dxa"/>
            <w:tcBorders>
              <w:top w:val="single" w:color="000000" w:sz="4" w:space="0"/>
              <w:left w:val="single" w:color="000000" w:sz="4" w:space="0"/>
              <w:bottom w:val="single" w:color="000000" w:sz="4" w:space="0"/>
              <w:right w:val="single" w:color="000000" w:sz="4" w:space="0"/>
            </w:tcBorders>
            <w:noWrap/>
            <w:vAlign w:val="center"/>
          </w:tcPr>
          <w:p w14:paraId="6EB395E8">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5</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5AF70A09">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电脑桌</w:t>
            </w:r>
          </w:p>
        </w:tc>
        <w:tc>
          <w:tcPr>
            <w:tcW w:w="6480" w:type="dxa"/>
            <w:tcBorders>
              <w:top w:val="single" w:color="000000" w:sz="4" w:space="0"/>
              <w:left w:val="single" w:color="000000" w:sz="4" w:space="0"/>
              <w:bottom w:val="single" w:color="000000" w:sz="4" w:space="0"/>
              <w:right w:val="single" w:color="000000" w:sz="4" w:space="0"/>
            </w:tcBorders>
            <w:noWrap w:val="0"/>
            <w:vAlign w:val="center"/>
          </w:tcPr>
          <w:p w14:paraId="579E963D">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1.钢木组合结构，桌面采用</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eastAsia="宋体" w:cs="宋体"/>
                <w:color w:val="auto"/>
                <w:sz w:val="18"/>
                <w:szCs w:val="18"/>
                <w:highlight w:val="none"/>
                <w:lang w:val="en-US" w:eastAsia="zh-CN"/>
              </w:rPr>
              <w:t>25mm厚压缩多层实木板外贴防火板，带穿线孔。</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2.钢材部分采用</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eastAsia="宋体" w:cs="宋体"/>
                <w:color w:val="auto"/>
                <w:sz w:val="18"/>
                <w:szCs w:val="18"/>
                <w:highlight w:val="none"/>
                <w:lang w:val="en-US" w:eastAsia="zh-CN"/>
              </w:rPr>
              <w:t>1.2mm扁钢管，经数控弯管机握弯成型m冷轧钢板制作并布局散热孔。</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3.所有基材均耐酸碱、防虫、防腐等特出处理。</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4.封边严密、平整、与整块板材严丝合缝。</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5.规格</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eastAsia="宋体" w:cs="宋体"/>
                <w:color w:val="auto"/>
                <w:sz w:val="18"/>
                <w:szCs w:val="18"/>
                <w:highlight w:val="none"/>
                <w:lang w:val="en-US" w:eastAsia="zh-CN"/>
              </w:rPr>
              <w:t>1400*550*750</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7158811E">
            <w:pPr>
              <w:keepNext w:val="0"/>
              <w:keepLines w:val="0"/>
              <w:pageBreakBefore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bidi="ar"/>
              </w:rPr>
              <w:t>60</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37ED7C00">
            <w:pPr>
              <w:keepNext w:val="0"/>
              <w:keepLines w:val="0"/>
              <w:pageBreakBefore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bidi="ar"/>
              </w:rPr>
              <w:t>张</w:t>
            </w:r>
          </w:p>
        </w:tc>
        <w:tc>
          <w:tcPr>
            <w:tcW w:w="1357" w:type="dxa"/>
            <w:tcBorders>
              <w:top w:val="single" w:color="000000" w:sz="4" w:space="0"/>
              <w:left w:val="single" w:color="000000" w:sz="4" w:space="0"/>
              <w:bottom w:val="single" w:color="000000" w:sz="4" w:space="0"/>
              <w:right w:val="single" w:color="auto" w:sz="4" w:space="0"/>
            </w:tcBorders>
            <w:noWrap/>
            <w:vAlign w:val="center"/>
          </w:tcPr>
          <w:p w14:paraId="5E8FD55E">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p>
        </w:tc>
        <w:tc>
          <w:tcPr>
            <w:tcW w:w="1241" w:type="dxa"/>
            <w:tcBorders>
              <w:top w:val="single" w:color="000000" w:sz="4" w:space="0"/>
              <w:left w:val="single" w:color="auto" w:sz="4" w:space="0"/>
              <w:bottom w:val="single" w:color="000000" w:sz="4" w:space="0"/>
              <w:right w:val="single" w:color="auto" w:sz="4" w:space="0"/>
            </w:tcBorders>
            <w:noWrap/>
            <w:vAlign w:val="center"/>
          </w:tcPr>
          <w:p w14:paraId="2231E486">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p>
        </w:tc>
        <w:tc>
          <w:tcPr>
            <w:tcW w:w="1763" w:type="dxa"/>
            <w:tcBorders>
              <w:top w:val="single" w:color="000000" w:sz="4" w:space="0"/>
              <w:left w:val="single" w:color="auto" w:sz="4" w:space="0"/>
              <w:bottom w:val="single" w:color="000000" w:sz="4" w:space="0"/>
              <w:right w:val="single" w:color="000000" w:sz="4" w:space="0"/>
            </w:tcBorders>
            <w:noWrap/>
            <w:vAlign w:val="center"/>
          </w:tcPr>
          <w:p w14:paraId="0BEAB56E">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highlight w:val="none"/>
              </w:rPr>
              <w:drawing>
                <wp:anchor distT="0" distB="0" distL="114300" distR="114300" simplePos="0" relativeHeight="251679744" behindDoc="0" locked="0" layoutInCell="1" allowOverlap="1">
                  <wp:simplePos x="0" y="0"/>
                  <wp:positionH relativeFrom="column">
                    <wp:posOffset>-128905</wp:posOffset>
                  </wp:positionH>
                  <wp:positionV relativeFrom="paragraph">
                    <wp:posOffset>128905</wp:posOffset>
                  </wp:positionV>
                  <wp:extent cx="1179830" cy="1139825"/>
                  <wp:effectExtent l="0" t="0" r="1270" b="3175"/>
                  <wp:wrapSquare wrapText="bothSides"/>
                  <wp:docPr id="1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
                          <pic:cNvPicPr>
                            <a:picLocks noChangeAspect="1"/>
                          </pic:cNvPicPr>
                        </pic:nvPicPr>
                        <pic:blipFill>
                          <a:blip r:embed="rId41"/>
                          <a:stretch>
                            <a:fillRect/>
                          </a:stretch>
                        </pic:blipFill>
                        <pic:spPr>
                          <a:xfrm>
                            <a:off x="0" y="0"/>
                            <a:ext cx="1179830" cy="1139825"/>
                          </a:xfrm>
                          <a:prstGeom prst="rect">
                            <a:avLst/>
                          </a:prstGeom>
                          <a:noFill/>
                          <a:ln>
                            <a:noFill/>
                          </a:ln>
                        </pic:spPr>
                      </pic:pic>
                    </a:graphicData>
                  </a:graphic>
                </wp:anchor>
              </w:drawing>
            </w:r>
          </w:p>
        </w:tc>
      </w:tr>
      <w:tr w14:paraId="25834AEA">
        <w:tblPrEx>
          <w:tblCellMar>
            <w:top w:w="0" w:type="dxa"/>
            <w:left w:w="108" w:type="dxa"/>
            <w:bottom w:w="0" w:type="dxa"/>
            <w:right w:w="108" w:type="dxa"/>
          </w:tblCellMar>
        </w:tblPrEx>
        <w:trPr>
          <w:trHeight w:val="499" w:hRule="atLeast"/>
          <w:jc w:val="center"/>
        </w:trPr>
        <w:tc>
          <w:tcPr>
            <w:tcW w:w="647" w:type="dxa"/>
            <w:tcBorders>
              <w:top w:val="single" w:color="000000" w:sz="4" w:space="0"/>
              <w:left w:val="single" w:color="000000" w:sz="4" w:space="0"/>
              <w:bottom w:val="single" w:color="000000" w:sz="4" w:space="0"/>
              <w:right w:val="single" w:color="000000" w:sz="4" w:space="0"/>
            </w:tcBorders>
            <w:noWrap/>
            <w:vAlign w:val="center"/>
          </w:tcPr>
          <w:p w14:paraId="61FEDE4A">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15826C08">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电脑椅</w:t>
            </w:r>
          </w:p>
        </w:tc>
        <w:tc>
          <w:tcPr>
            <w:tcW w:w="6480" w:type="dxa"/>
            <w:tcBorders>
              <w:top w:val="single" w:color="000000" w:sz="4" w:space="0"/>
              <w:left w:val="single" w:color="000000" w:sz="4" w:space="0"/>
              <w:bottom w:val="single" w:color="000000" w:sz="4" w:space="0"/>
              <w:right w:val="single" w:color="000000" w:sz="4" w:space="0"/>
            </w:tcBorders>
            <w:noWrap w:val="0"/>
            <w:vAlign w:val="center"/>
          </w:tcPr>
          <w:p w14:paraId="7251A94A">
            <w:pPr>
              <w:keepNext w:val="0"/>
              <w:keepLines w:val="0"/>
              <w:pageBreakBefore w:val="0"/>
              <w:widowControl w:val="0"/>
              <w:numPr>
                <w:ilvl w:val="0"/>
                <w:numId w:val="15"/>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钢木组合结构，桌面采用</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eastAsia="宋体" w:cs="宋体"/>
                <w:color w:val="auto"/>
                <w:sz w:val="18"/>
                <w:szCs w:val="18"/>
                <w:highlight w:val="none"/>
                <w:lang w:val="en-US" w:eastAsia="zh-CN"/>
              </w:rPr>
              <w:t>25mm厚压缩多层实木板外贴防火板，带穿线孔。</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2.钢材部分采用</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eastAsia="宋体" w:cs="宋体"/>
                <w:color w:val="auto"/>
                <w:sz w:val="18"/>
                <w:szCs w:val="18"/>
                <w:highlight w:val="none"/>
                <w:lang w:val="en-US" w:eastAsia="zh-CN"/>
              </w:rPr>
              <w:t>1.2mm扁钢管，经数控弯管机握弯成型m冷轧钢板制作并布局散热孔。</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3.所有基材均耐酸碱、防虫、防腐等特出处理。</w:t>
            </w:r>
          </w:p>
          <w:p w14:paraId="20795899">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4.封边严密、平整、与整块板材严丝合缝。</w:t>
            </w:r>
          </w:p>
          <w:p w14:paraId="146CA431">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5.规格</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eastAsia="宋体" w:cs="宋体"/>
                <w:color w:val="auto"/>
                <w:sz w:val="18"/>
                <w:szCs w:val="18"/>
                <w:highlight w:val="none"/>
                <w:lang w:val="en-US" w:eastAsia="zh-CN"/>
              </w:rPr>
              <w:t>340*240*450</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340F72E7">
            <w:pPr>
              <w:keepNext w:val="0"/>
              <w:keepLines w:val="0"/>
              <w:pageBreakBefore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bidi="ar"/>
              </w:rPr>
              <w:t>12</w:t>
            </w:r>
            <w:r>
              <w:rPr>
                <w:rFonts w:hint="eastAsia" w:ascii="宋体" w:hAnsi="宋体" w:eastAsia="宋体" w:cs="宋体"/>
                <w:color w:val="auto"/>
                <w:sz w:val="18"/>
                <w:szCs w:val="18"/>
                <w:highlight w:val="none"/>
                <w:lang w:bidi="ar"/>
              </w:rPr>
              <w:t>0</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6BCFA212">
            <w:pPr>
              <w:keepNext w:val="0"/>
              <w:keepLines w:val="0"/>
              <w:pageBreakBefore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bidi="ar"/>
              </w:rPr>
              <w:t>张</w:t>
            </w:r>
          </w:p>
        </w:tc>
        <w:tc>
          <w:tcPr>
            <w:tcW w:w="1357" w:type="dxa"/>
            <w:tcBorders>
              <w:top w:val="single" w:color="000000" w:sz="4" w:space="0"/>
              <w:left w:val="single" w:color="000000" w:sz="4" w:space="0"/>
              <w:bottom w:val="single" w:color="000000" w:sz="4" w:space="0"/>
              <w:right w:val="single" w:color="auto" w:sz="4" w:space="0"/>
            </w:tcBorders>
            <w:noWrap/>
            <w:vAlign w:val="center"/>
          </w:tcPr>
          <w:p w14:paraId="2DFB3F5D">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rPr>
            </w:pPr>
          </w:p>
        </w:tc>
        <w:tc>
          <w:tcPr>
            <w:tcW w:w="1241" w:type="dxa"/>
            <w:tcBorders>
              <w:top w:val="single" w:color="000000" w:sz="4" w:space="0"/>
              <w:left w:val="single" w:color="auto" w:sz="4" w:space="0"/>
              <w:bottom w:val="single" w:color="000000" w:sz="4" w:space="0"/>
              <w:right w:val="single" w:color="auto" w:sz="4" w:space="0"/>
            </w:tcBorders>
            <w:noWrap/>
            <w:vAlign w:val="center"/>
          </w:tcPr>
          <w:p w14:paraId="7CB5D16C">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rPr>
            </w:pPr>
          </w:p>
        </w:tc>
        <w:tc>
          <w:tcPr>
            <w:tcW w:w="1763" w:type="dxa"/>
            <w:tcBorders>
              <w:top w:val="single" w:color="000000" w:sz="4" w:space="0"/>
              <w:left w:val="single" w:color="auto" w:sz="4" w:space="0"/>
              <w:bottom w:val="single" w:color="000000" w:sz="4" w:space="0"/>
              <w:right w:val="single" w:color="000000" w:sz="4" w:space="0"/>
            </w:tcBorders>
            <w:noWrap/>
            <w:vAlign w:val="center"/>
          </w:tcPr>
          <w:p w14:paraId="45C0A9F5">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rPr>
            </w:pPr>
          </w:p>
        </w:tc>
      </w:tr>
      <w:tr w14:paraId="725A8B13">
        <w:tblPrEx>
          <w:tblCellMar>
            <w:top w:w="0" w:type="dxa"/>
            <w:left w:w="108" w:type="dxa"/>
            <w:bottom w:w="0" w:type="dxa"/>
            <w:right w:w="108" w:type="dxa"/>
          </w:tblCellMar>
        </w:tblPrEx>
        <w:trPr>
          <w:trHeight w:val="499" w:hRule="atLeast"/>
          <w:jc w:val="center"/>
        </w:trPr>
        <w:tc>
          <w:tcPr>
            <w:tcW w:w="647" w:type="dxa"/>
            <w:tcBorders>
              <w:top w:val="single" w:color="000000" w:sz="4" w:space="0"/>
              <w:left w:val="single" w:color="000000" w:sz="4" w:space="0"/>
              <w:bottom w:val="single" w:color="000000" w:sz="4" w:space="0"/>
              <w:right w:val="single" w:color="000000" w:sz="4" w:space="0"/>
            </w:tcBorders>
            <w:noWrap/>
            <w:vAlign w:val="center"/>
          </w:tcPr>
          <w:p w14:paraId="34D7FB48">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7</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5169D27C">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静电地板</w:t>
            </w:r>
          </w:p>
        </w:tc>
        <w:tc>
          <w:tcPr>
            <w:tcW w:w="6480" w:type="dxa"/>
            <w:tcBorders>
              <w:top w:val="single" w:color="000000" w:sz="4" w:space="0"/>
              <w:left w:val="single" w:color="000000" w:sz="4" w:space="0"/>
              <w:bottom w:val="single" w:color="000000" w:sz="4" w:space="0"/>
              <w:right w:val="single" w:color="000000" w:sz="4" w:space="0"/>
            </w:tcBorders>
            <w:noWrap w:val="0"/>
            <w:vAlign w:val="center"/>
          </w:tcPr>
          <w:p w14:paraId="05B0C8DD">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1.陶瓷小兰花 600*600*45</w:t>
            </w:r>
            <w:r>
              <w:rPr>
                <w:rFonts w:hint="eastAsia" w:ascii="宋体" w:hAnsi="宋体" w:eastAsia="宋体" w:cs="宋体"/>
                <w:color w:val="auto"/>
                <w:sz w:val="18"/>
                <w:szCs w:val="18"/>
                <w:highlight w:val="none"/>
              </w:rPr>
              <w:br w:type="textWrapping"/>
            </w:r>
            <w:r>
              <w:rPr>
                <w:rFonts w:hint="eastAsia" w:ascii="宋体" w:hAnsi="宋体" w:eastAsia="宋体" w:cs="宋体"/>
                <w:color w:val="auto"/>
                <w:sz w:val="18"/>
                <w:szCs w:val="18"/>
                <w:highlight w:val="none"/>
              </w:rPr>
              <w:t>2.集中载荷=2950N时挠度：1.21mm、永久变形：0.2mm</w:t>
            </w:r>
            <w:r>
              <w:rPr>
                <w:rFonts w:hint="eastAsia" w:ascii="宋体" w:hAnsi="宋体" w:eastAsia="宋体" w:cs="宋体"/>
                <w:color w:val="auto"/>
                <w:sz w:val="18"/>
                <w:szCs w:val="18"/>
                <w:highlight w:val="none"/>
              </w:rPr>
              <w:br w:type="textWrapping"/>
            </w:r>
            <w:r>
              <w:rPr>
                <w:rFonts w:hint="eastAsia" w:ascii="宋体" w:hAnsi="宋体" w:eastAsia="宋体" w:cs="宋体"/>
                <w:color w:val="auto"/>
                <w:sz w:val="18"/>
                <w:szCs w:val="18"/>
                <w:highlight w:val="none"/>
              </w:rPr>
              <w:t>3.均布载荷=12500N/㎡ 挠度：0.88mm</w:t>
            </w:r>
            <w:r>
              <w:rPr>
                <w:rFonts w:hint="eastAsia" w:ascii="宋体" w:hAnsi="宋体" w:eastAsia="宋体" w:cs="宋体"/>
                <w:color w:val="auto"/>
                <w:sz w:val="18"/>
                <w:szCs w:val="18"/>
                <w:highlight w:val="none"/>
              </w:rPr>
              <w:br w:type="textWrapping"/>
            </w:r>
            <w:r>
              <w:rPr>
                <w:rFonts w:hint="eastAsia" w:ascii="宋体" w:hAnsi="宋体" w:eastAsia="宋体" w:cs="宋体"/>
                <w:color w:val="auto"/>
                <w:sz w:val="18"/>
                <w:szCs w:val="18"/>
                <w:highlight w:val="none"/>
              </w:rPr>
              <w:t>4.极限集中载荷</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eastAsia="宋体" w:cs="宋体"/>
                <w:color w:val="auto"/>
                <w:sz w:val="18"/>
                <w:szCs w:val="18"/>
                <w:highlight w:val="none"/>
              </w:rPr>
              <w:t>13580N</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04505178">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170</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1FF12D92">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w:t>
            </w:r>
          </w:p>
        </w:tc>
        <w:tc>
          <w:tcPr>
            <w:tcW w:w="1357" w:type="dxa"/>
            <w:tcBorders>
              <w:top w:val="single" w:color="000000" w:sz="4" w:space="0"/>
              <w:left w:val="single" w:color="000000" w:sz="4" w:space="0"/>
              <w:bottom w:val="single" w:color="000000" w:sz="4" w:space="0"/>
              <w:right w:val="single" w:color="auto" w:sz="4" w:space="0"/>
            </w:tcBorders>
            <w:noWrap/>
            <w:vAlign w:val="center"/>
          </w:tcPr>
          <w:p w14:paraId="0FCE355F">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p>
        </w:tc>
        <w:tc>
          <w:tcPr>
            <w:tcW w:w="1241" w:type="dxa"/>
            <w:tcBorders>
              <w:top w:val="single" w:color="000000" w:sz="4" w:space="0"/>
              <w:left w:val="single" w:color="auto" w:sz="4" w:space="0"/>
              <w:bottom w:val="single" w:color="000000" w:sz="4" w:space="0"/>
              <w:right w:val="single" w:color="auto" w:sz="4" w:space="0"/>
            </w:tcBorders>
            <w:noWrap/>
            <w:vAlign w:val="center"/>
          </w:tcPr>
          <w:p w14:paraId="3F7EB017">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p>
        </w:tc>
        <w:tc>
          <w:tcPr>
            <w:tcW w:w="1763" w:type="dxa"/>
            <w:tcBorders>
              <w:top w:val="single" w:color="000000" w:sz="4" w:space="0"/>
              <w:left w:val="single" w:color="auto" w:sz="4" w:space="0"/>
              <w:bottom w:val="single" w:color="000000" w:sz="4" w:space="0"/>
              <w:right w:val="single" w:color="000000" w:sz="4" w:space="0"/>
            </w:tcBorders>
            <w:noWrap/>
            <w:vAlign w:val="center"/>
          </w:tcPr>
          <w:p w14:paraId="6338021A">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p>
        </w:tc>
      </w:tr>
      <w:tr w14:paraId="7209D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4542" w:type="dxa"/>
            <w:gridSpan w:val="8"/>
            <w:noWrap w:val="0"/>
            <w:vAlign w:val="center"/>
          </w:tcPr>
          <w:p w14:paraId="17902851">
            <w:pPr>
              <w:widowControl/>
              <w:spacing w:line="240" w:lineRule="auto"/>
              <w:ind w:firstLine="0" w:firstLineChars="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b/>
                <w:bCs/>
                <w:color w:val="auto"/>
                <w:kern w:val="0"/>
                <w:sz w:val="21"/>
                <w:szCs w:val="21"/>
                <w:highlight w:val="none"/>
                <w:lang w:val="en-US" w:eastAsia="zh-CN" w:bidi="ar"/>
              </w:rPr>
              <w:t>三、智能工程学院机房实训室建设</w:t>
            </w:r>
          </w:p>
        </w:tc>
      </w:tr>
      <w:tr w14:paraId="39702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47" w:type="dxa"/>
            <w:noWrap w:val="0"/>
            <w:vAlign w:val="center"/>
          </w:tcPr>
          <w:p w14:paraId="27480A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549" w:type="dxa"/>
            <w:noWrap w:val="0"/>
            <w:vAlign w:val="center"/>
          </w:tcPr>
          <w:p w14:paraId="7E1B07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名称</w:t>
            </w:r>
          </w:p>
        </w:tc>
        <w:tc>
          <w:tcPr>
            <w:tcW w:w="6480" w:type="dxa"/>
            <w:noWrap w:val="0"/>
            <w:vAlign w:val="center"/>
          </w:tcPr>
          <w:p w14:paraId="758863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技术参数</w:t>
            </w:r>
          </w:p>
        </w:tc>
        <w:tc>
          <w:tcPr>
            <w:tcW w:w="731" w:type="dxa"/>
            <w:noWrap w:val="0"/>
            <w:vAlign w:val="center"/>
          </w:tcPr>
          <w:p w14:paraId="196764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774" w:type="dxa"/>
            <w:noWrap w:val="0"/>
            <w:vAlign w:val="center"/>
          </w:tcPr>
          <w:p w14:paraId="73F88E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1357" w:type="dxa"/>
            <w:noWrap w:val="0"/>
            <w:vAlign w:val="center"/>
          </w:tcPr>
          <w:p w14:paraId="661E5BBC">
            <w:pPr>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color w:val="auto"/>
                <w:sz w:val="21"/>
                <w:szCs w:val="21"/>
                <w:highlight w:val="none"/>
                <w:lang w:val="en-US" w:eastAsia="zh-CN"/>
              </w:rPr>
              <w:t>单价报价（元）</w:t>
            </w:r>
          </w:p>
        </w:tc>
        <w:tc>
          <w:tcPr>
            <w:tcW w:w="1241" w:type="dxa"/>
            <w:noWrap w:val="0"/>
            <w:vAlign w:val="center"/>
          </w:tcPr>
          <w:p w14:paraId="05D035BD">
            <w:pPr>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color w:val="auto"/>
                <w:sz w:val="21"/>
                <w:szCs w:val="21"/>
                <w:highlight w:val="none"/>
                <w:lang w:val="en-US" w:eastAsia="zh-CN" w:bidi="ar"/>
              </w:rPr>
              <w:t>合计（元）</w:t>
            </w:r>
          </w:p>
        </w:tc>
        <w:tc>
          <w:tcPr>
            <w:tcW w:w="1763" w:type="dxa"/>
            <w:noWrap w:val="0"/>
            <w:vAlign w:val="center"/>
          </w:tcPr>
          <w:p w14:paraId="57DD3B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品牌</w:t>
            </w:r>
          </w:p>
        </w:tc>
      </w:tr>
      <w:tr w14:paraId="0A546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47" w:type="dxa"/>
            <w:noWrap w:val="0"/>
            <w:vAlign w:val="center"/>
          </w:tcPr>
          <w:p w14:paraId="5A9188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549" w:type="dxa"/>
            <w:noWrap w:val="0"/>
            <w:vAlign w:val="center"/>
          </w:tcPr>
          <w:p w14:paraId="37790D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交换机</w:t>
            </w:r>
          </w:p>
        </w:tc>
        <w:tc>
          <w:tcPr>
            <w:tcW w:w="6480" w:type="dxa"/>
            <w:noWrap w:val="0"/>
            <w:vAlign w:val="center"/>
          </w:tcPr>
          <w:p w14:paraId="24706AAA">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1.交换容量396GT，包转发率≥570Mpps（若官网有A/B两值，以小值为准）；</w:t>
            </w:r>
          </w:p>
          <w:p w14:paraId="3B951995">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2.24口10/100/1000Mbps自适应电口交换机，固化4个SFP千兆光口；</w:t>
            </w:r>
          </w:p>
          <w:p w14:paraId="3B1AC07C">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3.支持RIP，OSPF，BGP，RIPng，OSPFv3，BGP4+；</w:t>
            </w:r>
          </w:p>
          <w:p w14:paraId="351831ED">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4.支持端口镜像功能，支持多对一端口镜像及一对多端口镜像，支持跨交换机的远程端口镜像功能RSPAN，支持聚合链路的镜像。</w:t>
            </w:r>
          </w:p>
          <w:p w14:paraId="43765A27">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5. 品牌要求 ：投标产品须为国际或国内主流网络设备品牌。</w:t>
            </w:r>
          </w:p>
          <w:p w14:paraId="3AD8E52B">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 软件升级 ：供应商须承诺在质保期内免费提供最新的稳定版操作系统/固件。</w:t>
            </w:r>
          </w:p>
          <w:p w14:paraId="728367F3">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7. 质保服务 ：提供原厂3年及以上质保。</w:t>
            </w:r>
          </w:p>
          <w:p w14:paraId="5F776E3E">
            <w:pPr>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8. 认证要求 ：签订合同时需提供 3C认证证书。</w:t>
            </w:r>
          </w:p>
        </w:tc>
        <w:tc>
          <w:tcPr>
            <w:tcW w:w="731" w:type="dxa"/>
            <w:noWrap w:val="0"/>
            <w:vAlign w:val="center"/>
          </w:tcPr>
          <w:p w14:paraId="2DB4AC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774" w:type="dxa"/>
            <w:noWrap w:val="0"/>
            <w:vAlign w:val="center"/>
          </w:tcPr>
          <w:p w14:paraId="49E501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c>
          <w:tcPr>
            <w:tcW w:w="1357" w:type="dxa"/>
            <w:noWrap w:val="0"/>
            <w:vAlign w:val="center"/>
          </w:tcPr>
          <w:p w14:paraId="57093AA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241" w:type="dxa"/>
            <w:noWrap w:val="0"/>
            <w:vAlign w:val="center"/>
          </w:tcPr>
          <w:p w14:paraId="4591566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763" w:type="dxa"/>
            <w:noWrap w:val="0"/>
            <w:vAlign w:val="center"/>
          </w:tcPr>
          <w:p w14:paraId="4A6D9B7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3A33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47" w:type="dxa"/>
            <w:vMerge w:val="restart"/>
            <w:noWrap w:val="0"/>
            <w:vAlign w:val="center"/>
          </w:tcPr>
          <w:p w14:paraId="3A15EF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549" w:type="dxa"/>
            <w:vMerge w:val="restart"/>
            <w:noWrap w:val="0"/>
            <w:vAlign w:val="center"/>
          </w:tcPr>
          <w:p w14:paraId="1AE6B0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电脑</w:t>
            </w:r>
          </w:p>
        </w:tc>
        <w:tc>
          <w:tcPr>
            <w:tcW w:w="6480" w:type="dxa"/>
            <w:noWrap w:val="0"/>
            <w:vAlign w:val="center"/>
          </w:tcPr>
          <w:p w14:paraId="57121A0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1.主板：Intel 芯片组，</w:t>
            </w: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B760M-G 企业级主板（主板、电源等关键部件有原厂商统一品牌标志）；</w:t>
            </w:r>
          </w:p>
        </w:tc>
        <w:tc>
          <w:tcPr>
            <w:tcW w:w="731" w:type="dxa"/>
            <w:vMerge w:val="restart"/>
            <w:noWrap w:val="0"/>
            <w:vAlign w:val="center"/>
          </w:tcPr>
          <w:p w14:paraId="6BDBD9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60</w:t>
            </w:r>
          </w:p>
        </w:tc>
        <w:tc>
          <w:tcPr>
            <w:tcW w:w="774" w:type="dxa"/>
            <w:vMerge w:val="restart"/>
            <w:noWrap w:val="0"/>
            <w:vAlign w:val="center"/>
          </w:tcPr>
          <w:p w14:paraId="2C5725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台</w:t>
            </w:r>
          </w:p>
        </w:tc>
        <w:tc>
          <w:tcPr>
            <w:tcW w:w="1357" w:type="dxa"/>
            <w:noWrap w:val="0"/>
            <w:vAlign w:val="center"/>
          </w:tcPr>
          <w:p w14:paraId="00FB0D7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241" w:type="dxa"/>
            <w:vMerge w:val="restart"/>
            <w:noWrap w:val="0"/>
            <w:vAlign w:val="center"/>
          </w:tcPr>
          <w:p w14:paraId="38AFB1A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763" w:type="dxa"/>
            <w:noWrap w:val="0"/>
            <w:vAlign w:val="center"/>
          </w:tcPr>
          <w:p w14:paraId="7EB46FF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2445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47" w:type="dxa"/>
            <w:vMerge w:val="continue"/>
            <w:noWrap w:val="0"/>
            <w:vAlign w:val="center"/>
          </w:tcPr>
          <w:p w14:paraId="454DF5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549" w:type="dxa"/>
            <w:vMerge w:val="continue"/>
            <w:noWrap w:val="0"/>
            <w:vAlign w:val="center"/>
          </w:tcPr>
          <w:p w14:paraId="591B0D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480" w:type="dxa"/>
            <w:noWrap w:val="0"/>
            <w:vAlign w:val="center"/>
          </w:tcPr>
          <w:p w14:paraId="21AD2C3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2.CPU:最新第十四代Intel 酷睿I5-14400F处理器以上CPU，六核十二线程，主频</w:t>
            </w: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2.5GHz，睿频</w:t>
            </w: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4.4GHz；</w:t>
            </w:r>
          </w:p>
        </w:tc>
        <w:tc>
          <w:tcPr>
            <w:tcW w:w="731" w:type="dxa"/>
            <w:vMerge w:val="continue"/>
            <w:noWrap w:val="0"/>
            <w:vAlign w:val="center"/>
          </w:tcPr>
          <w:p w14:paraId="72BE70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774" w:type="dxa"/>
            <w:vMerge w:val="continue"/>
            <w:noWrap w:val="0"/>
            <w:vAlign w:val="center"/>
          </w:tcPr>
          <w:p w14:paraId="39A290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357" w:type="dxa"/>
            <w:noWrap w:val="0"/>
            <w:vAlign w:val="center"/>
          </w:tcPr>
          <w:p w14:paraId="2D15690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241" w:type="dxa"/>
            <w:vMerge w:val="continue"/>
            <w:noWrap w:val="0"/>
            <w:vAlign w:val="center"/>
          </w:tcPr>
          <w:p w14:paraId="650414D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763" w:type="dxa"/>
            <w:noWrap w:val="0"/>
            <w:vAlign w:val="center"/>
          </w:tcPr>
          <w:p w14:paraId="3C2AAE8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F9CB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47" w:type="dxa"/>
            <w:vMerge w:val="continue"/>
            <w:noWrap w:val="0"/>
            <w:vAlign w:val="center"/>
          </w:tcPr>
          <w:p w14:paraId="0B77FA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549" w:type="dxa"/>
            <w:vMerge w:val="continue"/>
            <w:noWrap w:val="0"/>
            <w:vAlign w:val="center"/>
          </w:tcPr>
          <w:p w14:paraId="4B9C3C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480" w:type="dxa"/>
            <w:noWrap w:val="0"/>
            <w:vAlign w:val="center"/>
          </w:tcPr>
          <w:p w14:paraId="1ABCC76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4.内存: </w:t>
            </w: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16G DDR5 6000 ，四卡槽；</w:t>
            </w:r>
          </w:p>
        </w:tc>
        <w:tc>
          <w:tcPr>
            <w:tcW w:w="731" w:type="dxa"/>
            <w:vMerge w:val="continue"/>
            <w:noWrap w:val="0"/>
            <w:vAlign w:val="center"/>
          </w:tcPr>
          <w:p w14:paraId="0BCABC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774" w:type="dxa"/>
            <w:vMerge w:val="continue"/>
            <w:noWrap w:val="0"/>
            <w:vAlign w:val="center"/>
          </w:tcPr>
          <w:p w14:paraId="671C59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357" w:type="dxa"/>
            <w:noWrap w:val="0"/>
            <w:vAlign w:val="center"/>
          </w:tcPr>
          <w:p w14:paraId="30E4338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241" w:type="dxa"/>
            <w:vMerge w:val="continue"/>
            <w:noWrap w:val="0"/>
            <w:vAlign w:val="center"/>
          </w:tcPr>
          <w:p w14:paraId="6A37159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763" w:type="dxa"/>
            <w:noWrap w:val="0"/>
            <w:vAlign w:val="center"/>
          </w:tcPr>
          <w:p w14:paraId="425BCF2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A195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647" w:type="dxa"/>
            <w:vMerge w:val="continue"/>
            <w:noWrap w:val="0"/>
            <w:vAlign w:val="center"/>
          </w:tcPr>
          <w:p w14:paraId="7BDE1F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549" w:type="dxa"/>
            <w:vMerge w:val="continue"/>
            <w:noWrap w:val="0"/>
            <w:vAlign w:val="center"/>
          </w:tcPr>
          <w:p w14:paraId="7A4C59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480" w:type="dxa"/>
            <w:noWrap w:val="0"/>
            <w:vAlign w:val="center"/>
          </w:tcPr>
          <w:p w14:paraId="74F5EA2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5.硬盘：</w:t>
            </w: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512G M2 固态硬盘  支持HDD+SSD双硬盘；</w:t>
            </w:r>
          </w:p>
        </w:tc>
        <w:tc>
          <w:tcPr>
            <w:tcW w:w="731" w:type="dxa"/>
            <w:vMerge w:val="continue"/>
            <w:noWrap w:val="0"/>
            <w:vAlign w:val="center"/>
          </w:tcPr>
          <w:p w14:paraId="2486EE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774" w:type="dxa"/>
            <w:vMerge w:val="continue"/>
            <w:noWrap w:val="0"/>
            <w:vAlign w:val="center"/>
          </w:tcPr>
          <w:p w14:paraId="50C252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357" w:type="dxa"/>
            <w:noWrap w:val="0"/>
            <w:vAlign w:val="center"/>
          </w:tcPr>
          <w:p w14:paraId="28881E1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241" w:type="dxa"/>
            <w:vMerge w:val="continue"/>
            <w:noWrap w:val="0"/>
            <w:vAlign w:val="center"/>
          </w:tcPr>
          <w:p w14:paraId="1A53507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763" w:type="dxa"/>
            <w:noWrap w:val="0"/>
            <w:vAlign w:val="center"/>
          </w:tcPr>
          <w:p w14:paraId="581CCA8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7927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47" w:type="dxa"/>
            <w:vMerge w:val="continue"/>
            <w:noWrap w:val="0"/>
            <w:vAlign w:val="center"/>
          </w:tcPr>
          <w:p w14:paraId="2F412A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549" w:type="dxa"/>
            <w:vMerge w:val="continue"/>
            <w:noWrap w:val="0"/>
            <w:vAlign w:val="center"/>
          </w:tcPr>
          <w:p w14:paraId="303D24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480" w:type="dxa"/>
            <w:noWrap w:val="0"/>
            <w:vAlign w:val="center"/>
          </w:tcPr>
          <w:p w14:paraId="6F4EF51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6.网卡:千兆以太网卡；</w:t>
            </w:r>
          </w:p>
        </w:tc>
        <w:tc>
          <w:tcPr>
            <w:tcW w:w="731" w:type="dxa"/>
            <w:vMerge w:val="continue"/>
            <w:noWrap w:val="0"/>
            <w:vAlign w:val="center"/>
          </w:tcPr>
          <w:p w14:paraId="2FDE1F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774" w:type="dxa"/>
            <w:vMerge w:val="continue"/>
            <w:noWrap w:val="0"/>
            <w:vAlign w:val="center"/>
          </w:tcPr>
          <w:p w14:paraId="38A754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357" w:type="dxa"/>
            <w:noWrap w:val="0"/>
            <w:vAlign w:val="center"/>
          </w:tcPr>
          <w:p w14:paraId="7897E10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241" w:type="dxa"/>
            <w:vMerge w:val="continue"/>
            <w:noWrap w:val="0"/>
            <w:vAlign w:val="center"/>
          </w:tcPr>
          <w:p w14:paraId="5058029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763" w:type="dxa"/>
            <w:noWrap w:val="0"/>
            <w:vAlign w:val="center"/>
          </w:tcPr>
          <w:p w14:paraId="54A454E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8E70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47" w:type="dxa"/>
            <w:vMerge w:val="continue"/>
            <w:noWrap w:val="0"/>
            <w:vAlign w:val="center"/>
          </w:tcPr>
          <w:p w14:paraId="6A5BF1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549" w:type="dxa"/>
            <w:vMerge w:val="continue"/>
            <w:noWrap w:val="0"/>
            <w:vAlign w:val="center"/>
          </w:tcPr>
          <w:p w14:paraId="7EDFDA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480" w:type="dxa"/>
            <w:noWrap w:val="0"/>
            <w:vAlign w:val="center"/>
          </w:tcPr>
          <w:p w14:paraId="53711E5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7.显卡：</w:t>
            </w: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RTX5060  8G；</w:t>
            </w:r>
          </w:p>
        </w:tc>
        <w:tc>
          <w:tcPr>
            <w:tcW w:w="731" w:type="dxa"/>
            <w:vMerge w:val="continue"/>
            <w:noWrap w:val="0"/>
            <w:vAlign w:val="center"/>
          </w:tcPr>
          <w:p w14:paraId="098996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774" w:type="dxa"/>
            <w:vMerge w:val="continue"/>
            <w:noWrap w:val="0"/>
            <w:vAlign w:val="center"/>
          </w:tcPr>
          <w:p w14:paraId="685A94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357" w:type="dxa"/>
            <w:noWrap w:val="0"/>
            <w:vAlign w:val="center"/>
          </w:tcPr>
          <w:p w14:paraId="7A483AF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241" w:type="dxa"/>
            <w:vMerge w:val="continue"/>
            <w:noWrap w:val="0"/>
            <w:vAlign w:val="center"/>
          </w:tcPr>
          <w:p w14:paraId="241154F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763" w:type="dxa"/>
            <w:noWrap w:val="0"/>
            <w:vAlign w:val="center"/>
          </w:tcPr>
          <w:p w14:paraId="7869B16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F056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47" w:type="dxa"/>
            <w:vMerge w:val="continue"/>
            <w:noWrap w:val="0"/>
            <w:vAlign w:val="center"/>
          </w:tcPr>
          <w:p w14:paraId="12AF02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549" w:type="dxa"/>
            <w:vMerge w:val="continue"/>
            <w:noWrap w:val="0"/>
            <w:vAlign w:val="center"/>
          </w:tcPr>
          <w:p w14:paraId="20EEAD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480" w:type="dxa"/>
            <w:noWrap w:val="0"/>
            <w:vAlign w:val="center"/>
          </w:tcPr>
          <w:p w14:paraId="11CE797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8.接口:8个外置USB接口 ,其中USB3.2</w:t>
            </w: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4 USB2.0</w:t>
            </w: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4。Kensington 线缆锁插槽；视频接口:一个VGA接口和一个HDMI接口;</w:t>
            </w:r>
          </w:p>
        </w:tc>
        <w:tc>
          <w:tcPr>
            <w:tcW w:w="731" w:type="dxa"/>
            <w:vMerge w:val="continue"/>
            <w:noWrap w:val="0"/>
            <w:vAlign w:val="center"/>
          </w:tcPr>
          <w:p w14:paraId="561EDD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774" w:type="dxa"/>
            <w:vMerge w:val="continue"/>
            <w:noWrap w:val="0"/>
            <w:vAlign w:val="center"/>
          </w:tcPr>
          <w:p w14:paraId="6BF84F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357" w:type="dxa"/>
            <w:noWrap w:val="0"/>
            <w:vAlign w:val="center"/>
          </w:tcPr>
          <w:p w14:paraId="73B332A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241" w:type="dxa"/>
            <w:vMerge w:val="continue"/>
            <w:noWrap w:val="0"/>
            <w:vAlign w:val="center"/>
          </w:tcPr>
          <w:p w14:paraId="3AE42DB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763" w:type="dxa"/>
            <w:noWrap w:val="0"/>
            <w:vAlign w:val="center"/>
          </w:tcPr>
          <w:p w14:paraId="3D6D466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1267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47" w:type="dxa"/>
            <w:vMerge w:val="continue"/>
            <w:noWrap w:val="0"/>
            <w:vAlign w:val="center"/>
          </w:tcPr>
          <w:p w14:paraId="2916E2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549" w:type="dxa"/>
            <w:vMerge w:val="continue"/>
            <w:noWrap w:val="0"/>
            <w:vAlign w:val="center"/>
          </w:tcPr>
          <w:p w14:paraId="5074AC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480" w:type="dxa"/>
            <w:noWrap w:val="0"/>
            <w:vAlign w:val="center"/>
          </w:tcPr>
          <w:p w14:paraId="6B22924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9.扩展插槽: </w:t>
            </w: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 xml:space="preserve">1个PCIe x16 </w:t>
            </w: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 xml:space="preserve">2个PCIe x1 </w:t>
            </w: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1个PCI插槽；</w:t>
            </w:r>
          </w:p>
        </w:tc>
        <w:tc>
          <w:tcPr>
            <w:tcW w:w="731" w:type="dxa"/>
            <w:vMerge w:val="continue"/>
            <w:noWrap w:val="0"/>
            <w:vAlign w:val="center"/>
          </w:tcPr>
          <w:p w14:paraId="540461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774" w:type="dxa"/>
            <w:vMerge w:val="continue"/>
            <w:noWrap w:val="0"/>
            <w:vAlign w:val="center"/>
          </w:tcPr>
          <w:p w14:paraId="6E9AB9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357" w:type="dxa"/>
            <w:noWrap w:val="0"/>
            <w:vAlign w:val="center"/>
          </w:tcPr>
          <w:p w14:paraId="7521D1E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241" w:type="dxa"/>
            <w:vMerge w:val="continue"/>
            <w:noWrap w:val="0"/>
            <w:vAlign w:val="center"/>
          </w:tcPr>
          <w:p w14:paraId="7DB280B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763" w:type="dxa"/>
            <w:noWrap w:val="0"/>
            <w:vAlign w:val="center"/>
          </w:tcPr>
          <w:p w14:paraId="5CE405B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B275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47" w:type="dxa"/>
            <w:vMerge w:val="continue"/>
            <w:noWrap w:val="0"/>
            <w:vAlign w:val="center"/>
          </w:tcPr>
          <w:p w14:paraId="5C636E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549" w:type="dxa"/>
            <w:vMerge w:val="continue"/>
            <w:noWrap w:val="0"/>
            <w:vAlign w:val="center"/>
          </w:tcPr>
          <w:p w14:paraId="48806E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480" w:type="dxa"/>
            <w:noWrap w:val="0"/>
            <w:vAlign w:val="center"/>
          </w:tcPr>
          <w:p w14:paraId="255CBB0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10.电源：EPA电源，</w:t>
            </w: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功率650W，80plus认证；</w:t>
            </w:r>
          </w:p>
        </w:tc>
        <w:tc>
          <w:tcPr>
            <w:tcW w:w="731" w:type="dxa"/>
            <w:vMerge w:val="continue"/>
            <w:noWrap w:val="0"/>
            <w:vAlign w:val="center"/>
          </w:tcPr>
          <w:p w14:paraId="4888C7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774" w:type="dxa"/>
            <w:vMerge w:val="continue"/>
            <w:noWrap w:val="0"/>
            <w:vAlign w:val="center"/>
          </w:tcPr>
          <w:p w14:paraId="735A61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357" w:type="dxa"/>
            <w:noWrap w:val="0"/>
            <w:vAlign w:val="center"/>
          </w:tcPr>
          <w:p w14:paraId="23F904A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241" w:type="dxa"/>
            <w:vMerge w:val="continue"/>
            <w:noWrap w:val="0"/>
            <w:vAlign w:val="center"/>
          </w:tcPr>
          <w:p w14:paraId="41D069A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763" w:type="dxa"/>
            <w:noWrap w:val="0"/>
            <w:vAlign w:val="center"/>
          </w:tcPr>
          <w:p w14:paraId="4E91BC8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18B8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647" w:type="dxa"/>
            <w:vMerge w:val="continue"/>
            <w:noWrap w:val="0"/>
            <w:vAlign w:val="center"/>
          </w:tcPr>
          <w:p w14:paraId="6498DC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549" w:type="dxa"/>
            <w:vMerge w:val="continue"/>
            <w:noWrap w:val="0"/>
            <w:vAlign w:val="center"/>
          </w:tcPr>
          <w:p w14:paraId="12B5BC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480" w:type="dxa"/>
            <w:noWrap w:val="0"/>
            <w:vAlign w:val="center"/>
          </w:tcPr>
          <w:p w14:paraId="6DCBA5C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11.CPU自带导风罩，可以有效提高散热及灰尘的进入，减少机器的故障率，提升机器的使用寿命；</w:t>
            </w:r>
          </w:p>
        </w:tc>
        <w:tc>
          <w:tcPr>
            <w:tcW w:w="731" w:type="dxa"/>
            <w:vMerge w:val="continue"/>
            <w:noWrap w:val="0"/>
            <w:vAlign w:val="center"/>
          </w:tcPr>
          <w:p w14:paraId="00C8ED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774" w:type="dxa"/>
            <w:vMerge w:val="continue"/>
            <w:noWrap w:val="0"/>
            <w:vAlign w:val="center"/>
          </w:tcPr>
          <w:p w14:paraId="2CD856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357" w:type="dxa"/>
            <w:noWrap w:val="0"/>
            <w:vAlign w:val="center"/>
          </w:tcPr>
          <w:p w14:paraId="73CA6CA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241" w:type="dxa"/>
            <w:vMerge w:val="continue"/>
            <w:noWrap w:val="0"/>
            <w:vAlign w:val="center"/>
          </w:tcPr>
          <w:p w14:paraId="1669457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763" w:type="dxa"/>
            <w:noWrap w:val="0"/>
            <w:vAlign w:val="center"/>
          </w:tcPr>
          <w:p w14:paraId="6D75013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8D55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647" w:type="dxa"/>
            <w:vMerge w:val="continue"/>
            <w:noWrap w:val="0"/>
            <w:vAlign w:val="center"/>
          </w:tcPr>
          <w:p w14:paraId="5696B1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549" w:type="dxa"/>
            <w:vMerge w:val="continue"/>
            <w:noWrap w:val="0"/>
            <w:vAlign w:val="center"/>
          </w:tcPr>
          <w:p w14:paraId="673E8B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480" w:type="dxa"/>
            <w:noWrap w:val="0"/>
            <w:vAlign w:val="center"/>
          </w:tcPr>
          <w:p w14:paraId="3DAE7CE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12.机箱自带提手，方便搬运，高整机防盗设计，主机配置防盗锁孔，后置电源故障诊断灯，便于快速定位设备故障原因；</w:t>
            </w:r>
          </w:p>
        </w:tc>
        <w:tc>
          <w:tcPr>
            <w:tcW w:w="731" w:type="dxa"/>
            <w:vMerge w:val="continue"/>
            <w:noWrap w:val="0"/>
            <w:vAlign w:val="center"/>
          </w:tcPr>
          <w:p w14:paraId="1E02F7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774" w:type="dxa"/>
            <w:vMerge w:val="continue"/>
            <w:noWrap w:val="0"/>
            <w:vAlign w:val="center"/>
          </w:tcPr>
          <w:p w14:paraId="12BA9C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357" w:type="dxa"/>
            <w:noWrap w:val="0"/>
            <w:vAlign w:val="center"/>
          </w:tcPr>
          <w:p w14:paraId="1965A06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241" w:type="dxa"/>
            <w:vMerge w:val="continue"/>
            <w:noWrap w:val="0"/>
            <w:vAlign w:val="center"/>
          </w:tcPr>
          <w:p w14:paraId="6F949C2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763" w:type="dxa"/>
            <w:noWrap w:val="0"/>
            <w:vAlign w:val="center"/>
          </w:tcPr>
          <w:p w14:paraId="48E68C0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4795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47" w:type="dxa"/>
            <w:vMerge w:val="continue"/>
            <w:noWrap w:val="0"/>
            <w:vAlign w:val="center"/>
          </w:tcPr>
          <w:p w14:paraId="125096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549" w:type="dxa"/>
            <w:vMerge w:val="continue"/>
            <w:noWrap w:val="0"/>
            <w:vAlign w:val="center"/>
          </w:tcPr>
          <w:p w14:paraId="6BEB6F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480" w:type="dxa"/>
            <w:noWrap w:val="0"/>
            <w:vAlign w:val="center"/>
          </w:tcPr>
          <w:p w14:paraId="45D417A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13.机箱大小:机箱容量不小于14.7L；</w:t>
            </w:r>
          </w:p>
        </w:tc>
        <w:tc>
          <w:tcPr>
            <w:tcW w:w="731" w:type="dxa"/>
            <w:vMerge w:val="continue"/>
            <w:noWrap w:val="0"/>
            <w:vAlign w:val="center"/>
          </w:tcPr>
          <w:p w14:paraId="38067B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774" w:type="dxa"/>
            <w:vMerge w:val="continue"/>
            <w:noWrap w:val="0"/>
            <w:vAlign w:val="center"/>
          </w:tcPr>
          <w:p w14:paraId="6865F5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357" w:type="dxa"/>
            <w:noWrap w:val="0"/>
            <w:vAlign w:val="center"/>
          </w:tcPr>
          <w:p w14:paraId="5B76D95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241" w:type="dxa"/>
            <w:vMerge w:val="continue"/>
            <w:noWrap w:val="0"/>
            <w:vAlign w:val="center"/>
          </w:tcPr>
          <w:p w14:paraId="1743F7D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763" w:type="dxa"/>
            <w:noWrap w:val="0"/>
            <w:vAlign w:val="center"/>
          </w:tcPr>
          <w:p w14:paraId="6024BE4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D13C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7" w:type="dxa"/>
            <w:vMerge w:val="continue"/>
            <w:noWrap w:val="0"/>
            <w:vAlign w:val="center"/>
          </w:tcPr>
          <w:p w14:paraId="19DBD2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549" w:type="dxa"/>
            <w:vMerge w:val="continue"/>
            <w:noWrap w:val="0"/>
            <w:vAlign w:val="center"/>
          </w:tcPr>
          <w:p w14:paraId="7A0C88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480" w:type="dxa"/>
            <w:noWrap w:val="0"/>
            <w:vAlign w:val="center"/>
          </w:tcPr>
          <w:p w14:paraId="68B61DF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14.显示器</w:t>
            </w:r>
            <w:r>
              <w:rPr>
                <w:rFonts w:hint="eastAsia" w:ascii="宋体" w:hAnsi="宋体" w:eastAsia="宋体" w:cs="宋体"/>
                <w:b w:val="0"/>
                <w:bCs w:val="0"/>
                <w:i w:val="0"/>
                <w:iCs w:val="0"/>
                <w:color w:val="auto"/>
                <w:kern w:val="0"/>
                <w:sz w:val="18"/>
                <w:szCs w:val="18"/>
                <w:highlight w:val="none"/>
                <w:u w:val="none"/>
                <w:lang w:val="en-US" w:eastAsia="zh-CN" w:bidi="ar"/>
              </w:rPr>
              <w:t>:</w:t>
            </w:r>
            <w:r>
              <w:rPr>
                <w:rFonts w:hint="eastAsia" w:ascii="宋体" w:hAnsi="宋体" w:eastAsia="宋体" w:cs="宋体"/>
                <w:color w:val="auto"/>
                <w:sz w:val="18"/>
                <w:szCs w:val="18"/>
                <w:highlight w:val="none"/>
                <w:lang w:val="en-US" w:eastAsia="zh-CN"/>
              </w:rPr>
              <w:t>≥</w:t>
            </w:r>
            <w:r>
              <w:rPr>
                <w:rFonts w:hint="eastAsia" w:ascii="宋体" w:hAnsi="宋体" w:eastAsia="宋体" w:cs="宋体"/>
                <w:b w:val="0"/>
                <w:bCs w:val="0"/>
                <w:i w:val="0"/>
                <w:iCs w:val="0"/>
                <w:color w:val="auto"/>
                <w:kern w:val="0"/>
                <w:sz w:val="18"/>
                <w:szCs w:val="18"/>
                <w:highlight w:val="none"/>
                <w:u w:val="none"/>
                <w:lang w:val="en-US" w:eastAsia="zh-CN" w:bidi="ar"/>
              </w:rPr>
              <w:t>24寸品牌显示器,分</w:t>
            </w:r>
            <w:r>
              <w:rPr>
                <w:rFonts w:hint="eastAsia" w:ascii="宋体" w:hAnsi="宋体" w:eastAsia="宋体" w:cs="宋体"/>
                <w:i w:val="0"/>
                <w:iCs w:val="0"/>
                <w:color w:val="auto"/>
                <w:kern w:val="0"/>
                <w:sz w:val="18"/>
                <w:szCs w:val="18"/>
                <w:highlight w:val="none"/>
                <w:u w:val="none"/>
                <w:lang w:val="en-US" w:eastAsia="zh-CN" w:bidi="ar"/>
              </w:rPr>
              <w:t>辨率</w:t>
            </w: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1080，刷新率</w:t>
            </w: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75HZ；</w:t>
            </w:r>
          </w:p>
        </w:tc>
        <w:tc>
          <w:tcPr>
            <w:tcW w:w="731" w:type="dxa"/>
            <w:vMerge w:val="continue"/>
            <w:noWrap w:val="0"/>
            <w:vAlign w:val="center"/>
          </w:tcPr>
          <w:p w14:paraId="4B57B2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774" w:type="dxa"/>
            <w:vMerge w:val="continue"/>
            <w:noWrap w:val="0"/>
            <w:vAlign w:val="center"/>
          </w:tcPr>
          <w:p w14:paraId="45DB9E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357" w:type="dxa"/>
            <w:vMerge w:val="restart"/>
            <w:noWrap w:val="0"/>
            <w:vAlign w:val="center"/>
          </w:tcPr>
          <w:p w14:paraId="16DC5C5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241" w:type="dxa"/>
            <w:vMerge w:val="continue"/>
            <w:noWrap w:val="0"/>
            <w:vAlign w:val="center"/>
          </w:tcPr>
          <w:p w14:paraId="547733A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763" w:type="dxa"/>
            <w:noWrap w:val="0"/>
            <w:vAlign w:val="center"/>
          </w:tcPr>
          <w:p w14:paraId="0D3BD59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BF8D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47" w:type="dxa"/>
            <w:vMerge w:val="continue"/>
            <w:noWrap w:val="0"/>
            <w:vAlign w:val="center"/>
          </w:tcPr>
          <w:p w14:paraId="5577CB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549" w:type="dxa"/>
            <w:vMerge w:val="continue"/>
            <w:noWrap w:val="0"/>
            <w:vAlign w:val="center"/>
          </w:tcPr>
          <w:p w14:paraId="25794C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480" w:type="dxa"/>
            <w:noWrap w:val="0"/>
            <w:vAlign w:val="center"/>
          </w:tcPr>
          <w:p w14:paraId="79B4185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15.键鼠:USB键盘和鼠标；</w:t>
            </w:r>
          </w:p>
        </w:tc>
        <w:tc>
          <w:tcPr>
            <w:tcW w:w="731" w:type="dxa"/>
            <w:vMerge w:val="continue"/>
            <w:noWrap w:val="0"/>
            <w:vAlign w:val="center"/>
          </w:tcPr>
          <w:p w14:paraId="40AEDE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774" w:type="dxa"/>
            <w:vMerge w:val="continue"/>
            <w:noWrap w:val="0"/>
            <w:vAlign w:val="center"/>
          </w:tcPr>
          <w:p w14:paraId="52ECFE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357" w:type="dxa"/>
            <w:vMerge w:val="continue"/>
            <w:noWrap w:val="0"/>
            <w:vAlign w:val="center"/>
          </w:tcPr>
          <w:p w14:paraId="0A929B6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241" w:type="dxa"/>
            <w:vMerge w:val="continue"/>
            <w:noWrap w:val="0"/>
            <w:vAlign w:val="center"/>
          </w:tcPr>
          <w:p w14:paraId="588D701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763" w:type="dxa"/>
            <w:noWrap w:val="0"/>
            <w:vAlign w:val="center"/>
          </w:tcPr>
          <w:p w14:paraId="3E01F4E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7F0C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647" w:type="dxa"/>
            <w:vMerge w:val="continue"/>
            <w:noWrap w:val="0"/>
            <w:vAlign w:val="center"/>
          </w:tcPr>
          <w:p w14:paraId="5C10EB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549" w:type="dxa"/>
            <w:vMerge w:val="continue"/>
            <w:noWrap w:val="0"/>
            <w:vAlign w:val="center"/>
          </w:tcPr>
          <w:p w14:paraId="011364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480" w:type="dxa"/>
            <w:noWrap w:val="0"/>
            <w:vAlign w:val="center"/>
          </w:tcPr>
          <w:p w14:paraId="054EACB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16.为方便电脑之间传输，提升授课效率，机器自带网络同传功能（非外加同传卡），同时安装多台机器程序；</w:t>
            </w:r>
          </w:p>
        </w:tc>
        <w:tc>
          <w:tcPr>
            <w:tcW w:w="731" w:type="dxa"/>
            <w:vMerge w:val="continue"/>
            <w:noWrap w:val="0"/>
            <w:vAlign w:val="center"/>
          </w:tcPr>
          <w:p w14:paraId="498DE1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774" w:type="dxa"/>
            <w:vMerge w:val="continue"/>
            <w:noWrap w:val="0"/>
            <w:vAlign w:val="center"/>
          </w:tcPr>
          <w:p w14:paraId="658EB6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357" w:type="dxa"/>
            <w:noWrap w:val="0"/>
            <w:vAlign w:val="center"/>
          </w:tcPr>
          <w:p w14:paraId="0948C65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241" w:type="dxa"/>
            <w:vMerge w:val="continue"/>
            <w:noWrap w:val="0"/>
            <w:vAlign w:val="center"/>
          </w:tcPr>
          <w:p w14:paraId="7F53C2A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763" w:type="dxa"/>
            <w:noWrap w:val="0"/>
            <w:vAlign w:val="center"/>
          </w:tcPr>
          <w:p w14:paraId="1D6754F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8E17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647" w:type="dxa"/>
            <w:vMerge w:val="continue"/>
            <w:noWrap w:val="0"/>
            <w:vAlign w:val="center"/>
          </w:tcPr>
          <w:p w14:paraId="010A66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549" w:type="dxa"/>
            <w:vMerge w:val="continue"/>
            <w:noWrap w:val="0"/>
            <w:vAlign w:val="center"/>
          </w:tcPr>
          <w:p w14:paraId="70BED6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480" w:type="dxa"/>
            <w:noWrap w:val="0"/>
            <w:vAlign w:val="center"/>
          </w:tcPr>
          <w:p w14:paraId="7059CA6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17.</w:t>
            </w:r>
            <w:r>
              <w:rPr>
                <w:rFonts w:hint="eastAsia" w:ascii="宋体" w:hAnsi="宋体" w:eastAsia="宋体" w:cs="宋体"/>
                <w:color w:val="auto"/>
                <w:sz w:val="18"/>
                <w:szCs w:val="18"/>
                <w:highlight w:val="none"/>
                <w:lang w:val="en-US" w:eastAsia="zh-CN"/>
              </w:rPr>
              <w:t>保修：整机提供两年质保及免费上门服务。</w:t>
            </w:r>
          </w:p>
        </w:tc>
        <w:tc>
          <w:tcPr>
            <w:tcW w:w="731" w:type="dxa"/>
            <w:vMerge w:val="continue"/>
            <w:noWrap w:val="0"/>
            <w:vAlign w:val="center"/>
          </w:tcPr>
          <w:p w14:paraId="4AB9F2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774" w:type="dxa"/>
            <w:vMerge w:val="continue"/>
            <w:noWrap w:val="0"/>
            <w:vAlign w:val="center"/>
          </w:tcPr>
          <w:p w14:paraId="537D46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357" w:type="dxa"/>
            <w:noWrap w:val="0"/>
            <w:vAlign w:val="center"/>
          </w:tcPr>
          <w:p w14:paraId="25F730F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241" w:type="dxa"/>
            <w:vMerge w:val="continue"/>
            <w:noWrap w:val="0"/>
            <w:vAlign w:val="center"/>
          </w:tcPr>
          <w:p w14:paraId="7DA516A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763" w:type="dxa"/>
            <w:noWrap w:val="0"/>
            <w:vAlign w:val="center"/>
          </w:tcPr>
          <w:p w14:paraId="3F9D7F3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6C4A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noWrap w:val="0"/>
            <w:vAlign w:val="center"/>
          </w:tcPr>
          <w:p w14:paraId="146214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1549" w:type="dxa"/>
            <w:noWrap w:val="0"/>
            <w:vAlign w:val="center"/>
          </w:tcPr>
          <w:p w14:paraId="57E7BB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桌椅</w:t>
            </w:r>
          </w:p>
        </w:tc>
        <w:tc>
          <w:tcPr>
            <w:tcW w:w="6480" w:type="dxa"/>
            <w:noWrap w:val="0"/>
            <w:vAlign w:val="center"/>
          </w:tcPr>
          <w:p w14:paraId="58C9AFF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1.规格：桌≥1400*550*750mm；椅≥340*240*450mm；</w:t>
            </w:r>
          </w:p>
          <w:p w14:paraId="4717F25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钢管厚度≥1.2mm厚，采用高温喷涂处理，使用漆洁合力提高；基材表面亚光静电喷塑。所有基材均经耐酸碱、防虫、防腐等特殊处理.面材：选用防火板贴面，硬度高，耐磨、耐热性好，表面平滑光洁，容易维护清洗，厚度≥2.5mm。材质：E1级优质颗粒板基材，拼缝精良,热压粘实,保持张力一致,不易变形；</w:t>
            </w:r>
          </w:p>
          <w:p w14:paraId="6771A85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3.封边：封边严密、平整，与整块板材严丝合缝，不允许脱胶、表面有胶渍；</w:t>
            </w:r>
          </w:p>
          <w:p w14:paraId="52709CF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4.五金件：优质五金配件，表面经镀铬处理，美观经久耐；</w:t>
            </w:r>
          </w:p>
          <w:p w14:paraId="70D3361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5.1年质保+售后维护。</w:t>
            </w:r>
          </w:p>
        </w:tc>
        <w:tc>
          <w:tcPr>
            <w:tcW w:w="731" w:type="dxa"/>
            <w:noWrap w:val="0"/>
            <w:vAlign w:val="center"/>
          </w:tcPr>
          <w:p w14:paraId="0203F3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30</w:t>
            </w:r>
          </w:p>
        </w:tc>
        <w:tc>
          <w:tcPr>
            <w:tcW w:w="774" w:type="dxa"/>
            <w:noWrap w:val="0"/>
            <w:vAlign w:val="center"/>
          </w:tcPr>
          <w:p w14:paraId="58A849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c>
          <w:tcPr>
            <w:tcW w:w="1357" w:type="dxa"/>
            <w:noWrap w:val="0"/>
            <w:vAlign w:val="center"/>
          </w:tcPr>
          <w:p w14:paraId="3486CEF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241" w:type="dxa"/>
            <w:noWrap w:val="0"/>
            <w:vAlign w:val="center"/>
          </w:tcPr>
          <w:p w14:paraId="31C57F0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763" w:type="dxa"/>
            <w:noWrap w:val="0"/>
            <w:vAlign w:val="center"/>
          </w:tcPr>
          <w:p w14:paraId="564211AA">
            <w:pPr>
              <w:keepNext w:val="0"/>
              <w:keepLines w:val="0"/>
              <w:widowControl/>
              <w:suppressLineNumbers w:val="0"/>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highlight w:val="none"/>
              </w:rPr>
              <w:drawing>
                <wp:anchor distT="0" distB="0" distL="114300" distR="114300" simplePos="0" relativeHeight="251680768" behindDoc="0" locked="0" layoutInCell="1" allowOverlap="1">
                  <wp:simplePos x="0" y="0"/>
                  <wp:positionH relativeFrom="column">
                    <wp:posOffset>-60960</wp:posOffset>
                  </wp:positionH>
                  <wp:positionV relativeFrom="paragraph">
                    <wp:posOffset>73025</wp:posOffset>
                  </wp:positionV>
                  <wp:extent cx="1179830" cy="1139825"/>
                  <wp:effectExtent l="0" t="0" r="1270" b="3175"/>
                  <wp:wrapSquare wrapText="bothSides"/>
                  <wp:docPr id="5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4"/>
                          <pic:cNvPicPr>
                            <a:picLocks noChangeAspect="1"/>
                          </pic:cNvPicPr>
                        </pic:nvPicPr>
                        <pic:blipFill>
                          <a:blip r:embed="rId41"/>
                          <a:stretch>
                            <a:fillRect/>
                          </a:stretch>
                        </pic:blipFill>
                        <pic:spPr>
                          <a:xfrm>
                            <a:off x="0" y="0"/>
                            <a:ext cx="1179830" cy="1139825"/>
                          </a:xfrm>
                          <a:prstGeom prst="rect">
                            <a:avLst/>
                          </a:prstGeom>
                          <a:noFill/>
                          <a:ln>
                            <a:noFill/>
                          </a:ln>
                        </pic:spPr>
                      </pic:pic>
                    </a:graphicData>
                  </a:graphic>
                </wp:anchor>
              </w:drawing>
            </w:r>
          </w:p>
        </w:tc>
      </w:tr>
      <w:tr w14:paraId="59B8B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noWrap w:val="0"/>
            <w:vAlign w:val="center"/>
          </w:tcPr>
          <w:p w14:paraId="6E86A0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549" w:type="dxa"/>
            <w:noWrap w:val="0"/>
            <w:vAlign w:val="center"/>
          </w:tcPr>
          <w:p w14:paraId="04045B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机柜</w:t>
            </w:r>
          </w:p>
        </w:tc>
        <w:tc>
          <w:tcPr>
            <w:tcW w:w="6480" w:type="dxa"/>
            <w:noWrap w:val="0"/>
            <w:vAlign w:val="center"/>
          </w:tcPr>
          <w:p w14:paraId="226C855E">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1、参数要求</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lang w:val="en-US" w:eastAsia="zh-CN" w:bidi="ar"/>
              </w:rPr>
              <w:t>600*800*1200mm，整体框架结构，材料：框架: SPCC优质冷轧钢板；厚度：方孔条</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lang w:val="en-US" w:eastAsia="zh-CN" w:bidi="ar"/>
              </w:rPr>
              <w:t>2.0mm，安装梁</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lang w:val="en-US" w:eastAsia="zh-CN" w:bidi="ar"/>
              </w:rPr>
              <w:t>1.2mm，侧门</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lang w:val="en-US" w:eastAsia="zh-CN" w:bidi="ar"/>
              </w:rPr>
              <w:t>1.0mm，其它</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lang w:val="en-US" w:eastAsia="zh-CN" w:bidi="ar"/>
              </w:rPr>
              <w:t>1.2mm；高级旋把门锁。承重</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lang w:val="en-US" w:eastAsia="zh-CN" w:bidi="ar"/>
              </w:rPr>
              <w:t>800kg.整体机架，前后网孔门，机柜顶部四个全静音风扇，保证内部良好通风及散热，封闭式电缆管理，电缆从顶部或底部进入；侧门可拆卸。在前后门安装6个缓冲垫，有明显的提示标签，机柜带有独立防静电接地系统系统，安装立柱可调整，可提供机柜并柜件。</w:t>
            </w:r>
          </w:p>
          <w:p w14:paraId="0645E338">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2、配件：一个10A6位PDU电源，3个层板，4个风扇，40套M6卡扣安装螺丝，地脚螺钉4颗。</w:t>
            </w:r>
          </w:p>
          <w:p w14:paraId="394C265B">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kern w:val="0"/>
                <w:sz w:val="18"/>
                <w:szCs w:val="18"/>
                <w:highlight w:val="none"/>
                <w:lang w:val="en-US" w:eastAsia="zh-CN" w:bidi="ar"/>
              </w:rPr>
              <w:t>3、质量保障：制造商通过国际质量体系ISO9000、CE、ROHS等认证。</w:t>
            </w:r>
          </w:p>
        </w:tc>
        <w:tc>
          <w:tcPr>
            <w:tcW w:w="731" w:type="dxa"/>
            <w:noWrap w:val="0"/>
            <w:vAlign w:val="center"/>
          </w:tcPr>
          <w:p w14:paraId="6F2F1F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774" w:type="dxa"/>
            <w:noWrap w:val="0"/>
            <w:vAlign w:val="center"/>
          </w:tcPr>
          <w:p w14:paraId="05FCCA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c>
          <w:tcPr>
            <w:tcW w:w="1357" w:type="dxa"/>
            <w:noWrap w:val="0"/>
            <w:vAlign w:val="center"/>
          </w:tcPr>
          <w:p w14:paraId="517F69D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241" w:type="dxa"/>
            <w:noWrap w:val="0"/>
            <w:vAlign w:val="center"/>
          </w:tcPr>
          <w:p w14:paraId="3C9A3AC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763" w:type="dxa"/>
            <w:noWrap w:val="0"/>
            <w:vAlign w:val="center"/>
          </w:tcPr>
          <w:p w14:paraId="5225592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F2C7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noWrap w:val="0"/>
            <w:vAlign w:val="center"/>
          </w:tcPr>
          <w:p w14:paraId="0B50EF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1549" w:type="dxa"/>
            <w:noWrap w:val="0"/>
            <w:vAlign w:val="center"/>
          </w:tcPr>
          <w:p w14:paraId="7849E61A">
            <w:pPr>
              <w:pStyle w:val="29"/>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sz w:val="18"/>
                <w:szCs w:val="18"/>
                <w:highlight w:val="none"/>
              </w:rPr>
              <w:t>网络同传</w:t>
            </w:r>
            <w:r>
              <w:rPr>
                <w:rFonts w:hint="eastAsia" w:ascii="宋体" w:hAnsi="宋体" w:eastAsia="宋体" w:cs="宋体"/>
                <w:color w:val="auto"/>
                <w:sz w:val="18"/>
                <w:szCs w:val="18"/>
                <w:highlight w:val="none"/>
                <w:lang w:val="en-US" w:eastAsia="zh-CN"/>
              </w:rPr>
              <w:t>机房管理系统</w:t>
            </w:r>
          </w:p>
        </w:tc>
        <w:tc>
          <w:tcPr>
            <w:tcW w:w="6480" w:type="dxa"/>
            <w:noWrap w:val="0"/>
            <w:vAlign w:val="center"/>
          </w:tcPr>
          <w:p w14:paraId="7477789F">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网络同传 出厂预装硬盘版网络同传软件，</w:t>
            </w:r>
          </w:p>
          <w:p w14:paraId="64522CCB">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1、</w:t>
            </w:r>
            <w:r>
              <w:rPr>
                <w:rFonts w:hint="eastAsia" w:ascii="宋体" w:hAnsi="宋体" w:eastAsia="宋体" w:cs="宋体"/>
                <w:color w:val="auto"/>
                <w:sz w:val="18"/>
                <w:szCs w:val="18"/>
                <w:highlight w:val="none"/>
                <w:lang w:val="en-US" w:eastAsia="zh-CN"/>
              </w:rPr>
              <w:t>保护/恢复数据：可对单分区、多分区经行快速保护和快速恢复数据。并且隐藏启动界面，隐藏操作员界面，隐藏恢复进度条。</w:t>
            </w:r>
          </w:p>
          <w:p w14:paraId="623F2B48">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2、</w:t>
            </w:r>
            <w:r>
              <w:rPr>
                <w:rFonts w:hint="eastAsia" w:ascii="宋体" w:hAnsi="宋体" w:eastAsia="宋体" w:cs="宋体"/>
                <w:color w:val="auto"/>
                <w:sz w:val="18"/>
                <w:szCs w:val="18"/>
                <w:highlight w:val="none"/>
                <w:lang w:val="en-US" w:eastAsia="zh-CN"/>
              </w:rPr>
              <w:t>智能同传：安装部署方便，支持传统BIOS主板及UEFI主板；支持XP、Windows7 32/64、Windows8 32/64、Windows10 32/64、Windows11等操作系统；</w:t>
            </w:r>
          </w:p>
          <w:p w14:paraId="71725A4D">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3、</w:t>
            </w:r>
            <w:r>
              <w:rPr>
                <w:rFonts w:hint="eastAsia" w:ascii="宋体" w:hAnsi="宋体" w:eastAsia="宋体" w:cs="宋体"/>
                <w:color w:val="auto"/>
                <w:sz w:val="18"/>
                <w:szCs w:val="18"/>
                <w:highlight w:val="none"/>
                <w:lang w:val="en-US" w:eastAsia="zh-CN"/>
              </w:rPr>
              <w:t>网络对拷：支持PXE网卡引导，需同传的机子不管有没有系统都可进行快速部署。即使接收端硬盘状态不一，也能“增量对拷”，并智能化计算后传送最少数据量。</w:t>
            </w:r>
          </w:p>
          <w:p w14:paraId="2D2ACD5C">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4、</w:t>
            </w:r>
            <w:r>
              <w:rPr>
                <w:rFonts w:hint="eastAsia" w:ascii="宋体" w:hAnsi="宋体" w:eastAsia="宋体" w:cs="宋体"/>
                <w:color w:val="auto"/>
                <w:sz w:val="18"/>
                <w:szCs w:val="18"/>
                <w:highlight w:val="none"/>
                <w:lang w:val="en-US" w:eastAsia="zh-CN"/>
              </w:rPr>
              <w:t>本地硬盘复制:同时支持本地1对3块硬盘复制，可以一对三进行硬盘对拷完，方便少数故障机快速恢复正常状态。系统克隆：在同一块硬盘上可以同时复制多个相同的操作系统到其他分区。可以在一块硬盘上克隆多个系统，快速部署，满足不同场景下的教学环境需求。</w:t>
            </w:r>
          </w:p>
          <w:p w14:paraId="4EC1C7FA">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5、</w:t>
            </w:r>
            <w:r>
              <w:rPr>
                <w:rFonts w:hint="eastAsia" w:ascii="宋体" w:hAnsi="宋体" w:eastAsia="宋体" w:cs="宋体"/>
                <w:color w:val="auto"/>
                <w:sz w:val="18"/>
                <w:szCs w:val="18"/>
                <w:highlight w:val="none"/>
                <w:lang w:val="en-US" w:eastAsia="zh-CN"/>
              </w:rPr>
              <w:t>远程锁定：管理端可远程锁定客户端的鼠标、键盘或屏幕。</w:t>
            </w:r>
            <w:r>
              <w:rPr>
                <w:rFonts w:hint="eastAsia" w:ascii="宋体" w:hAnsi="宋体" w:eastAsia="宋体" w:cs="宋体"/>
                <w:color w:val="auto"/>
                <w:sz w:val="18"/>
                <w:szCs w:val="18"/>
                <w:highlight w:val="none"/>
                <w:lang w:val="en-US" w:eastAsia="zh-CN"/>
              </w:rPr>
              <w:tab/>
            </w:r>
          </w:p>
          <w:p w14:paraId="05646C6F">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6、</w:t>
            </w:r>
            <w:r>
              <w:rPr>
                <w:rFonts w:hint="eastAsia" w:ascii="宋体" w:hAnsi="宋体" w:eastAsia="宋体" w:cs="宋体"/>
                <w:color w:val="auto"/>
                <w:sz w:val="18"/>
                <w:szCs w:val="18"/>
                <w:highlight w:val="none"/>
                <w:lang w:val="en-US" w:eastAsia="zh-CN"/>
              </w:rPr>
              <w:t>排程设置：设定时间后自动开机进行网络同传，完成后所有计算机自动关机。</w:t>
            </w:r>
          </w:p>
          <w:p w14:paraId="1C8133C9">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7、</w:t>
            </w:r>
            <w:r>
              <w:rPr>
                <w:rFonts w:hint="eastAsia" w:ascii="宋体" w:hAnsi="宋体" w:eastAsia="宋体" w:cs="宋体"/>
                <w:color w:val="auto"/>
                <w:sz w:val="18"/>
                <w:szCs w:val="18"/>
                <w:highlight w:val="none"/>
                <w:lang w:val="en-US" w:eastAsia="zh-CN"/>
              </w:rPr>
              <w:t>资产管理:管理端可对客户端的软硬件信息进行资产盘点，并导出Doc或Excel文件以便保存。</w:t>
            </w:r>
          </w:p>
          <w:p w14:paraId="07DBD1DF">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8、</w:t>
            </w:r>
            <w:r>
              <w:rPr>
                <w:rFonts w:hint="eastAsia" w:ascii="宋体" w:hAnsi="宋体" w:eastAsia="宋体" w:cs="宋体"/>
                <w:color w:val="auto"/>
                <w:sz w:val="18"/>
                <w:szCs w:val="18"/>
                <w:highlight w:val="none"/>
                <w:lang w:val="en-US" w:eastAsia="zh-CN"/>
              </w:rPr>
              <w:t>产品升级：管理端可下发升级包在几分钟内就升级所有客户端程序。</w:t>
            </w:r>
          </w:p>
          <w:p w14:paraId="068C5092">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9、</w:t>
            </w:r>
            <w:r>
              <w:rPr>
                <w:rFonts w:hint="eastAsia" w:ascii="宋体" w:hAnsi="宋体" w:eastAsia="宋体" w:cs="宋体"/>
                <w:color w:val="auto"/>
                <w:sz w:val="18"/>
                <w:szCs w:val="18"/>
                <w:highlight w:val="none"/>
                <w:lang w:val="en-US" w:eastAsia="zh-CN"/>
              </w:rPr>
              <w:t>电子教室：软件含电子教室功能，实现课堂教学老师对学生广播教学、学生演示、网页广播、电子点名、提交作业等多项教学互动功能。</w:t>
            </w:r>
          </w:p>
          <w:p w14:paraId="56A37D1A">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kern w:val="2"/>
                <w:sz w:val="18"/>
                <w:szCs w:val="18"/>
                <w:highlight w:val="none"/>
                <w:lang w:val="en-US" w:eastAsia="zh-CN" w:bidi="ar-SA"/>
              </w:rPr>
              <w:t>10、</w:t>
            </w:r>
            <w:r>
              <w:rPr>
                <w:rFonts w:hint="eastAsia" w:ascii="宋体" w:hAnsi="宋体" w:eastAsia="宋体" w:cs="宋体"/>
                <w:color w:val="auto"/>
                <w:sz w:val="18"/>
                <w:szCs w:val="18"/>
                <w:highlight w:val="none"/>
                <w:lang w:val="en-US" w:eastAsia="zh-CN"/>
              </w:rPr>
              <w:t>客户端搜索：管理端可以抓取该局域网内的所有客户端，即便该客户端已登入其他管理端。便于一次性管理所有电脑教室。将系统被使用的情况都记录在日志文件内，以供需要时查询。</w:t>
            </w:r>
          </w:p>
        </w:tc>
        <w:tc>
          <w:tcPr>
            <w:tcW w:w="731" w:type="dxa"/>
            <w:noWrap w:val="0"/>
            <w:vAlign w:val="center"/>
          </w:tcPr>
          <w:p w14:paraId="715FC3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774" w:type="dxa"/>
            <w:noWrap w:val="0"/>
            <w:vAlign w:val="center"/>
          </w:tcPr>
          <w:p w14:paraId="60055D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c>
          <w:tcPr>
            <w:tcW w:w="1357" w:type="dxa"/>
            <w:noWrap w:val="0"/>
            <w:vAlign w:val="center"/>
          </w:tcPr>
          <w:p w14:paraId="1BC57E1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241" w:type="dxa"/>
            <w:noWrap w:val="0"/>
            <w:vAlign w:val="center"/>
          </w:tcPr>
          <w:p w14:paraId="3D6D6C1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763" w:type="dxa"/>
            <w:noWrap w:val="0"/>
            <w:vAlign w:val="center"/>
          </w:tcPr>
          <w:p w14:paraId="7B7F799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470F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noWrap w:val="0"/>
            <w:vAlign w:val="center"/>
          </w:tcPr>
          <w:p w14:paraId="3468F0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w:t>
            </w:r>
          </w:p>
        </w:tc>
        <w:tc>
          <w:tcPr>
            <w:tcW w:w="1549" w:type="dxa"/>
            <w:noWrap w:val="0"/>
            <w:vAlign w:val="center"/>
          </w:tcPr>
          <w:p w14:paraId="7CC6B0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教学管理软件</w:t>
            </w:r>
          </w:p>
        </w:tc>
        <w:tc>
          <w:tcPr>
            <w:tcW w:w="6480" w:type="dxa"/>
            <w:noWrap w:val="0"/>
            <w:vAlign w:val="center"/>
          </w:tcPr>
          <w:p w14:paraId="03175B7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sz w:val="18"/>
                <w:szCs w:val="18"/>
                <w:highlight w:val="none"/>
                <w:lang w:val="en-US" w:eastAsia="zh-CN"/>
              </w:rPr>
              <w:t>1、屏幕广播：将教师机屏幕和教师讲话实时广播给单一、部分或全体学生，可选择全屏或窗口方式。</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2、共享白板：教师可共享白板、桌面或图片与选定的学生共同完成相同的学习任务或绘画作品，提供学生也可以单独完成。</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3、网络影院：实现教师机播放的视频同步广播到学生机。</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4、屏幕录制：教师机可以将本地的操作和讲解过程录制为mp4录像文件，可以用 Windows 自带的 Media Player 直接播放。</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5、学生端屏幕录制、回放：学生端接收教师端广播的时候可以自动录制教师机广播教学的过程，课后可以重复观看学习。</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文件分发：允许教师将教师机不同盘符中的目录或文件一起发送至生机的某目录下。目录不存在自动新建此目录；盘符不存在或路径非法不允许分发；文件已存在选择自动覆盖或保留原始文件。</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6、文件提交：学生把做好的作业直接提交到教师机，方便教师批改作业要收取的麻烦。</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7、屏幕监视：教师机可以监视单一、部分、全体学生机的屏幕，教师机每屏可监视多个学生屏幕（方便监视操作及查看）。可以控制教师机监控的同屏幕各窗口间、屏幕与屏幕间的切换速度。可手动或自动循环监视。</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8、网页限制：设定学生访问网站的黑名单或白名单，对学生可以访问的Internet站点进行管理。支持多浏览器限制，如QQ、IE、谷歌、360、遨游等浏览器。</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9、程序限制：通过各种策略的应用，可防止学生在教学过程中打游戏，或使用QQ，MSN等聊天工具，支持限制U盘，网络映射盘，硬盘虚拟盘，虚拟光盘，内存虚拟盘里的程序。</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10、自动锁屏：独有的断线保护自动锁屏技术，通过网卡的是否激活来锁定屏幕，避免学生拔掉网线违反纪律。</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11、防杀进程：为安全起见，学生端程序运行后，防止学生通过任务管理器结束学生端程序进程来逃脱教师控制。</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请求帮助：学生端遇到问题可请求帮助，教师端可远程遥控帮助学生解决问题。</w:t>
            </w:r>
          </w:p>
        </w:tc>
        <w:tc>
          <w:tcPr>
            <w:tcW w:w="731" w:type="dxa"/>
            <w:noWrap w:val="0"/>
            <w:vAlign w:val="center"/>
          </w:tcPr>
          <w:p w14:paraId="58981C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774" w:type="dxa"/>
            <w:noWrap w:val="0"/>
            <w:vAlign w:val="center"/>
          </w:tcPr>
          <w:p w14:paraId="4645D5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c>
          <w:tcPr>
            <w:tcW w:w="1357" w:type="dxa"/>
            <w:noWrap w:val="0"/>
            <w:vAlign w:val="center"/>
          </w:tcPr>
          <w:p w14:paraId="14D4282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241" w:type="dxa"/>
            <w:noWrap w:val="0"/>
            <w:vAlign w:val="center"/>
          </w:tcPr>
          <w:p w14:paraId="6B429C7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763" w:type="dxa"/>
            <w:noWrap w:val="0"/>
            <w:vAlign w:val="center"/>
          </w:tcPr>
          <w:p w14:paraId="2E3B916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CB09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noWrap w:val="0"/>
            <w:vAlign w:val="center"/>
          </w:tcPr>
          <w:p w14:paraId="3C5FA6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w:t>
            </w:r>
          </w:p>
        </w:tc>
        <w:tc>
          <w:tcPr>
            <w:tcW w:w="1549" w:type="dxa"/>
            <w:noWrap w:val="0"/>
            <w:vAlign w:val="center"/>
          </w:tcPr>
          <w:p w14:paraId="692A3A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静电地板</w:t>
            </w:r>
          </w:p>
        </w:tc>
        <w:tc>
          <w:tcPr>
            <w:tcW w:w="6480" w:type="dxa"/>
            <w:noWrap w:val="0"/>
            <w:vAlign w:val="center"/>
          </w:tcPr>
          <w:p w14:paraId="54845AC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1.规格：600mm×600mm×35mm，地板表面为小兰花陶瓷面，厚度45mm，内腔填充发泡水泥。防水、防火、防潮性能，含各类配件；</w:t>
            </w:r>
          </w:p>
          <w:p w14:paraId="5994099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2.产品具备高承载、防腐蚀，规格尺寸600mm*600mm*35mm，产品填充发泡水泥，支架厚度上不低于3mm下不低于2mm，横梁厚度不低于0.8mm。支架配比不低于3.2个/m2；横梁配比不低于5.2根/m2；</w:t>
            </w:r>
          </w:p>
          <w:p w14:paraId="0195BB4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3.集中载荷=2950N时挠度≤2.0mm、永久变形≤0.25mm；</w:t>
            </w:r>
          </w:p>
          <w:p w14:paraId="1FE1933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4.均布载荷=12500N/㎡  挠度≤2.0mm；</w:t>
            </w:r>
          </w:p>
          <w:p w14:paraId="415F40C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5.极限集中载荷：≥8850N；</w:t>
            </w:r>
          </w:p>
          <w:p w14:paraId="278F26F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6.地板表面经过导电环氧树脂喷塑处理，内腔填充发泡水泥。防水、防火、防潮性能，含各类配件；</w:t>
            </w:r>
          </w:p>
          <w:p w14:paraId="1D62105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7.靠墙部分必须用支架支撑，门口采用不锈钢条地板直角封边；</w:t>
            </w:r>
          </w:p>
          <w:p w14:paraId="6848CCB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8.1年质保+售后维护。</w:t>
            </w:r>
          </w:p>
        </w:tc>
        <w:tc>
          <w:tcPr>
            <w:tcW w:w="731" w:type="dxa"/>
            <w:noWrap w:val="0"/>
            <w:vAlign w:val="center"/>
          </w:tcPr>
          <w:p w14:paraId="6A1FAD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75</w:t>
            </w:r>
          </w:p>
        </w:tc>
        <w:tc>
          <w:tcPr>
            <w:tcW w:w="774" w:type="dxa"/>
            <w:noWrap w:val="0"/>
            <w:vAlign w:val="center"/>
          </w:tcPr>
          <w:p w14:paraId="2A145C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w:t>
            </w:r>
          </w:p>
        </w:tc>
        <w:tc>
          <w:tcPr>
            <w:tcW w:w="1357" w:type="dxa"/>
            <w:noWrap w:val="0"/>
            <w:vAlign w:val="center"/>
          </w:tcPr>
          <w:p w14:paraId="509B988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241" w:type="dxa"/>
            <w:noWrap w:val="0"/>
            <w:vAlign w:val="center"/>
          </w:tcPr>
          <w:p w14:paraId="75D1656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763" w:type="dxa"/>
            <w:noWrap w:val="0"/>
            <w:vAlign w:val="center"/>
          </w:tcPr>
          <w:p w14:paraId="2F85A3F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424B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647" w:type="dxa"/>
            <w:noWrap w:val="0"/>
            <w:vAlign w:val="center"/>
          </w:tcPr>
          <w:p w14:paraId="453E5C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w:t>
            </w:r>
          </w:p>
        </w:tc>
        <w:tc>
          <w:tcPr>
            <w:tcW w:w="1549" w:type="dxa"/>
            <w:noWrap w:val="0"/>
            <w:vAlign w:val="center"/>
          </w:tcPr>
          <w:p w14:paraId="620742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柜式空调</w:t>
            </w:r>
          </w:p>
        </w:tc>
        <w:tc>
          <w:tcPr>
            <w:tcW w:w="6480" w:type="dxa"/>
            <w:noWrap w:val="0"/>
            <w:vAlign w:val="center"/>
          </w:tcPr>
          <w:p w14:paraId="0DB3A1E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1.正3匹及以上功率柜式冷暖变频空调；</w:t>
            </w:r>
          </w:p>
          <w:p w14:paraId="0C5751E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2.1级能效；</w:t>
            </w:r>
          </w:p>
          <w:p w14:paraId="63CEEBE7">
            <w:pPr>
              <w:pStyle w:val="29"/>
              <w:keepNext w:val="0"/>
              <w:keepLines w:val="0"/>
              <w:pageBreakBefore w:val="0"/>
              <w:widowControl/>
              <w:numPr>
                <w:ilvl w:val="0"/>
                <w:numId w:val="0"/>
              </w:numPr>
              <w:kinsoku/>
              <w:wordWrap/>
              <w:overflowPunct/>
              <w:topLinePunct w:val="0"/>
              <w:autoSpaceDE/>
              <w:autoSpaceDN/>
              <w:bidi w:val="0"/>
              <w:adjustRightInd/>
              <w:snapToGrid/>
              <w:spacing w:after="0" w:line="300" w:lineRule="exact"/>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3.循环风量1200m3/h以上；</w:t>
            </w:r>
          </w:p>
          <w:p w14:paraId="190C0188">
            <w:pPr>
              <w:pStyle w:val="29"/>
              <w:keepNext w:val="0"/>
              <w:keepLines w:val="0"/>
              <w:pageBreakBefore w:val="0"/>
              <w:widowControl/>
              <w:numPr>
                <w:ilvl w:val="0"/>
                <w:numId w:val="0"/>
              </w:numPr>
              <w:kinsoku/>
              <w:wordWrap/>
              <w:overflowPunct/>
              <w:topLinePunct w:val="0"/>
              <w:autoSpaceDE/>
              <w:autoSpaceDN/>
              <w:bidi w:val="0"/>
              <w:adjustRightInd/>
              <w:snapToGrid/>
              <w:spacing w:after="0" w:line="300" w:lineRule="exact"/>
              <w:ind w:left="0" w:leftChars="0" w:firstLine="0" w:firstLineChars="0"/>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4.6年质保+售后维护。</w:t>
            </w:r>
          </w:p>
        </w:tc>
        <w:tc>
          <w:tcPr>
            <w:tcW w:w="731" w:type="dxa"/>
            <w:noWrap w:val="0"/>
            <w:vAlign w:val="center"/>
          </w:tcPr>
          <w:p w14:paraId="211F53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774" w:type="dxa"/>
            <w:noWrap w:val="0"/>
            <w:vAlign w:val="center"/>
          </w:tcPr>
          <w:p w14:paraId="58084B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台</w:t>
            </w:r>
          </w:p>
        </w:tc>
        <w:tc>
          <w:tcPr>
            <w:tcW w:w="1357" w:type="dxa"/>
            <w:noWrap w:val="0"/>
            <w:vAlign w:val="center"/>
          </w:tcPr>
          <w:p w14:paraId="6EA139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241" w:type="dxa"/>
            <w:noWrap w:val="0"/>
            <w:vAlign w:val="center"/>
          </w:tcPr>
          <w:p w14:paraId="4FA307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763" w:type="dxa"/>
            <w:noWrap w:val="0"/>
            <w:vAlign w:val="center"/>
          </w:tcPr>
          <w:p w14:paraId="3F1DD0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BC47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647" w:type="dxa"/>
            <w:noWrap w:val="0"/>
            <w:vAlign w:val="center"/>
          </w:tcPr>
          <w:p w14:paraId="15EE16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w:t>
            </w:r>
          </w:p>
        </w:tc>
        <w:tc>
          <w:tcPr>
            <w:tcW w:w="1549" w:type="dxa"/>
            <w:noWrap w:val="0"/>
            <w:vAlign w:val="center"/>
          </w:tcPr>
          <w:p w14:paraId="5D52F9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安装调试及辅材</w:t>
            </w:r>
          </w:p>
        </w:tc>
        <w:tc>
          <w:tcPr>
            <w:tcW w:w="6480" w:type="dxa"/>
            <w:noWrap w:val="0"/>
            <w:vAlign w:val="center"/>
          </w:tcPr>
          <w:p w14:paraId="6C9A64E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一级配电箱和二级配电箱，所需的2.5㎡、4㎡强电线缆，六类网线弱电线缆以及相应的公牛排插等辅材，搬运安装调试，室内消防要求配置灭火器等</w:t>
            </w:r>
          </w:p>
        </w:tc>
        <w:tc>
          <w:tcPr>
            <w:tcW w:w="731" w:type="dxa"/>
            <w:noWrap w:val="0"/>
            <w:vAlign w:val="center"/>
          </w:tcPr>
          <w:p w14:paraId="0CDD99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774" w:type="dxa"/>
            <w:noWrap w:val="0"/>
            <w:vAlign w:val="center"/>
          </w:tcPr>
          <w:p w14:paraId="62222E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c>
          <w:tcPr>
            <w:tcW w:w="1357" w:type="dxa"/>
            <w:noWrap w:val="0"/>
            <w:vAlign w:val="center"/>
          </w:tcPr>
          <w:p w14:paraId="317946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241" w:type="dxa"/>
            <w:noWrap w:val="0"/>
            <w:vAlign w:val="center"/>
          </w:tcPr>
          <w:p w14:paraId="76F6BE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763" w:type="dxa"/>
            <w:noWrap w:val="0"/>
            <w:vAlign w:val="center"/>
          </w:tcPr>
          <w:p w14:paraId="43B5C6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7C1C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47" w:type="dxa"/>
            <w:noWrap w:val="0"/>
            <w:vAlign w:val="center"/>
          </w:tcPr>
          <w:p w14:paraId="1B80DF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1549" w:type="dxa"/>
            <w:noWrap w:val="0"/>
            <w:vAlign w:val="center"/>
          </w:tcPr>
          <w:p w14:paraId="2E0BC8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智能交互平板</w:t>
            </w:r>
          </w:p>
        </w:tc>
        <w:tc>
          <w:tcPr>
            <w:tcW w:w="6480" w:type="dxa"/>
            <w:noWrap w:val="0"/>
            <w:vAlign w:val="center"/>
          </w:tcPr>
          <w:p w14:paraId="6C1F548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1.整机采用一体化设计，屏幕尺寸≥86英寸，显示比例16:9；</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2.显示分辨率不低于3840×2160（4K）；</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3.显示亮度≥400cd/㎡，对比度≥1200:1；</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4.采用红外或电容触控技术，支持≥20点同时触控；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5.内置音响系统，整机前置扬声器，功率满足教室教学需求；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6.接口不少于：HDMI≥3个、USB≥5个（含前置USB接口）；</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7.支持无线投屏功能，可实现教师电脑与学生终端内容展示；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8.内置或兼容电子白板软件，支持书写、批注、截图、保存；</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9.支持与教学管理软件（如极域）配合使用，实现屏幕展示与课堂教学控制；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w:t>
            </w:r>
            <w:r>
              <w:rPr>
                <w:rFonts w:hint="eastAsia" w:ascii="宋体" w:hAnsi="宋体" w:eastAsia="宋体" w:cs="宋体"/>
                <w:color w:val="auto"/>
                <w:sz w:val="18"/>
                <w:szCs w:val="18"/>
                <w:highlight w:val="none"/>
                <w:lang w:val="en-US" w:eastAsia="zh-CN"/>
              </w:rPr>
              <w:t>保修：整机提供3年质保及免费上门服务。</w:t>
            </w:r>
            <w:r>
              <w:rPr>
                <w:rFonts w:hint="eastAsia" w:ascii="宋体" w:hAnsi="宋体" w:eastAsia="宋体" w:cs="宋体"/>
                <w:i w:val="0"/>
                <w:iCs w:val="0"/>
                <w:color w:val="auto"/>
                <w:kern w:val="0"/>
                <w:sz w:val="18"/>
                <w:szCs w:val="18"/>
                <w:highlight w:val="none"/>
                <w:u w:val="none"/>
                <w:lang w:val="en-US" w:eastAsia="zh-CN" w:bidi="ar"/>
              </w:rPr>
              <w:t>。</w:t>
            </w:r>
          </w:p>
        </w:tc>
        <w:tc>
          <w:tcPr>
            <w:tcW w:w="731" w:type="dxa"/>
            <w:noWrap w:val="0"/>
            <w:vAlign w:val="center"/>
          </w:tcPr>
          <w:p w14:paraId="1887EC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774" w:type="dxa"/>
            <w:noWrap w:val="0"/>
            <w:vAlign w:val="center"/>
          </w:tcPr>
          <w:p w14:paraId="5AFA12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台</w:t>
            </w:r>
          </w:p>
        </w:tc>
        <w:tc>
          <w:tcPr>
            <w:tcW w:w="1357" w:type="dxa"/>
            <w:noWrap w:val="0"/>
            <w:vAlign w:val="center"/>
          </w:tcPr>
          <w:p w14:paraId="51688C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241" w:type="dxa"/>
            <w:noWrap w:val="0"/>
            <w:vAlign w:val="center"/>
          </w:tcPr>
          <w:p w14:paraId="7DC583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763" w:type="dxa"/>
            <w:noWrap w:val="0"/>
            <w:vAlign w:val="center"/>
          </w:tcPr>
          <w:p w14:paraId="3411AA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含壁挂或移动支架</w:t>
            </w:r>
          </w:p>
        </w:tc>
      </w:tr>
      <w:tr w14:paraId="1B37C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647" w:type="dxa"/>
            <w:noWrap w:val="0"/>
            <w:vAlign w:val="center"/>
          </w:tcPr>
          <w:p w14:paraId="40D32A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w:t>
            </w:r>
          </w:p>
        </w:tc>
        <w:tc>
          <w:tcPr>
            <w:tcW w:w="1549" w:type="dxa"/>
            <w:noWrap w:val="0"/>
            <w:vAlign w:val="center"/>
          </w:tcPr>
          <w:p w14:paraId="13C108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实训室文化建设</w:t>
            </w:r>
          </w:p>
        </w:tc>
        <w:tc>
          <w:tcPr>
            <w:tcW w:w="6480" w:type="dxa"/>
            <w:noWrap w:val="0"/>
            <w:vAlign w:val="center"/>
          </w:tcPr>
          <w:p w14:paraId="4D8FB7F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1.围绕“智能工程学院专业机房实训室”主题进行整体文化设计与制作，内容包括但不限于专业文化展示、实训室功能定位、管理制度与安全规范等；</w:t>
            </w:r>
          </w:p>
          <w:p w14:paraId="5F1A4C0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2.文化建设形式包含：文化墙、制度上墙、专业发展与岗位能力展示板等，采用写真、PVC板、亚克力板、KT板或同等材质制作；</w:t>
            </w:r>
          </w:p>
          <w:p w14:paraId="262A56D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3.文化版面设计风格统一，图文清晰，符合职业院校实训室文化建设要求；</w:t>
            </w:r>
          </w:p>
          <w:p w14:paraId="0F812F7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4.制作内容需包含但不限于：实训室简介、使用规范、安全操作须知、文明实训公约等；</w:t>
            </w:r>
          </w:p>
          <w:p w14:paraId="5C88DFE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5.安装方式为墙面固定安装，确保牢固、安全、美观；</w:t>
            </w:r>
          </w:p>
          <w:p w14:paraId="23CF7B5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6.含文化内容设计、制作、运输、安装及调试等全部费用；</w:t>
            </w:r>
          </w:p>
          <w:p w14:paraId="2397E75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7.文化建设完成后应整体协调，与机房环境和教学功能相匹配；</w:t>
            </w:r>
          </w:p>
          <w:p w14:paraId="6960206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8.项目自验收合格之日起，提供不少于1年的质量保证及售后维护服务，质保期内因材料、制作或安装质量问题造成的损坏，供应商须负责免费整改或更换。</w:t>
            </w:r>
          </w:p>
        </w:tc>
        <w:tc>
          <w:tcPr>
            <w:tcW w:w="731" w:type="dxa"/>
            <w:noWrap w:val="0"/>
            <w:vAlign w:val="center"/>
          </w:tcPr>
          <w:p w14:paraId="6BDDF0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774" w:type="dxa"/>
            <w:noWrap w:val="0"/>
            <w:vAlign w:val="center"/>
          </w:tcPr>
          <w:p w14:paraId="1C7733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项</w:t>
            </w:r>
          </w:p>
        </w:tc>
        <w:tc>
          <w:tcPr>
            <w:tcW w:w="1357" w:type="dxa"/>
            <w:noWrap w:val="0"/>
            <w:vAlign w:val="center"/>
          </w:tcPr>
          <w:p w14:paraId="395A10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241" w:type="dxa"/>
            <w:noWrap w:val="0"/>
            <w:vAlign w:val="center"/>
          </w:tcPr>
          <w:p w14:paraId="7655D0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763" w:type="dxa"/>
            <w:noWrap w:val="0"/>
            <w:vAlign w:val="center"/>
          </w:tcPr>
          <w:p w14:paraId="530EAF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定制化设计制作</w:t>
            </w:r>
          </w:p>
        </w:tc>
      </w:tr>
    </w:tbl>
    <w:p w14:paraId="15E405BE">
      <w:pPr>
        <w:widowControl/>
        <w:spacing w:line="440" w:lineRule="exact"/>
        <w:ind w:right="945" w:firstLine="2310" w:firstLineChars="1100"/>
        <w:jc w:val="left"/>
        <w:rPr>
          <w:rFonts w:hint="eastAsia" w:ascii="宋体" w:hAnsi="宋体" w:cs="宋体"/>
          <w:kern w:val="0"/>
          <w:szCs w:val="21"/>
        </w:rPr>
      </w:pPr>
    </w:p>
    <w:p w14:paraId="1A7CE955">
      <w:pPr>
        <w:widowControl/>
        <w:spacing w:line="440" w:lineRule="exact"/>
        <w:ind w:right="945"/>
        <w:jc w:val="right"/>
        <w:rPr>
          <w:rFonts w:hint="eastAsia" w:ascii="宋体" w:hAnsi="宋体" w:cs="宋体"/>
          <w:kern w:val="0"/>
          <w:szCs w:val="21"/>
        </w:rPr>
      </w:pPr>
      <w:r>
        <w:rPr>
          <w:rFonts w:hint="eastAsia" w:ascii="宋体" w:hAnsi="宋体" w:cs="宋体"/>
          <w:kern w:val="0"/>
          <w:szCs w:val="21"/>
        </w:rPr>
        <w:t>比选供应商：</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cs="宋体"/>
          <w:spacing w:val="-1"/>
          <w:kern w:val="0"/>
          <w:szCs w:val="21"/>
        </w:rPr>
        <w:t>盖</w:t>
      </w:r>
      <w:r>
        <w:rPr>
          <w:rFonts w:hint="eastAsia" w:ascii="宋体" w:hAnsi="宋体" w:cs="宋体"/>
          <w:kern w:val="0"/>
          <w:szCs w:val="21"/>
        </w:rPr>
        <w:t>鲜公章）</w:t>
      </w:r>
    </w:p>
    <w:p w14:paraId="45101F52">
      <w:pPr>
        <w:widowControl/>
        <w:spacing w:line="440" w:lineRule="exact"/>
        <w:ind w:right="945"/>
        <w:jc w:val="right"/>
        <w:rPr>
          <w:rFonts w:hint="eastAsia" w:ascii="宋体" w:hAnsi="宋体" w:cs="宋体"/>
          <w:kern w:val="0"/>
          <w:szCs w:val="21"/>
        </w:rPr>
      </w:pPr>
      <w:r>
        <w:rPr>
          <w:rFonts w:hint="eastAsia" w:ascii="宋体" w:hAnsi="宋体" w:cs="宋体"/>
          <w:kern w:val="0"/>
          <w:szCs w:val="21"/>
        </w:rPr>
        <w:t>法定代表人或委托代理人：</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kern w:val="0"/>
          <w:szCs w:val="21"/>
        </w:rPr>
        <w:t>签字或盖章</w:t>
      </w:r>
      <w:r>
        <w:rPr>
          <w:rFonts w:hint="eastAsia" w:ascii="宋体" w:hAnsi="宋体" w:cs="宋体"/>
          <w:kern w:val="0"/>
          <w:szCs w:val="21"/>
        </w:rPr>
        <w:t>）</w:t>
      </w:r>
    </w:p>
    <w:p w14:paraId="168E6488">
      <w:pPr>
        <w:widowControl/>
        <w:spacing w:line="440" w:lineRule="exact"/>
        <w:ind w:right="840"/>
        <w:jc w:val="right"/>
        <w:rPr>
          <w:rFonts w:hint="eastAsia" w:ascii="宋体" w:hAnsi="宋体"/>
          <w:szCs w:val="21"/>
        </w:rPr>
      </w:pPr>
      <w:r>
        <w:rPr>
          <w:rFonts w:hint="eastAsia" w:ascii="宋体" w:hAnsi="宋体" w:cs="宋体"/>
          <w:kern w:val="0"/>
          <w:szCs w:val="21"/>
        </w:rPr>
        <w:t>日期：      年     月     日</w:t>
      </w:r>
    </w:p>
    <w:p w14:paraId="6FB383C7">
      <w:pPr>
        <w:wordWrap w:val="0"/>
        <w:snapToGrid w:val="0"/>
        <w:spacing w:line="500" w:lineRule="exact"/>
        <w:jc w:val="center"/>
        <w:rPr>
          <w:rFonts w:hint="eastAsia" w:ascii="仿宋" w:hAnsi="仿宋" w:eastAsia="仿宋" w:cs="仿宋"/>
          <w:b/>
          <w:bCs/>
          <w:sz w:val="44"/>
        </w:rPr>
      </w:pPr>
    </w:p>
    <w:p w14:paraId="54D36958">
      <w:pPr>
        <w:wordWrap w:val="0"/>
        <w:snapToGrid w:val="0"/>
        <w:spacing w:line="500" w:lineRule="exact"/>
        <w:jc w:val="center"/>
        <w:rPr>
          <w:rFonts w:hint="eastAsia" w:ascii="仿宋" w:hAnsi="仿宋" w:eastAsia="仿宋" w:cs="仿宋"/>
          <w:b/>
          <w:bCs/>
          <w:sz w:val="44"/>
        </w:rPr>
        <w:sectPr>
          <w:headerReference r:id="rId36" w:type="first"/>
          <w:footerReference r:id="rId38" w:type="first"/>
          <w:headerReference r:id="rId34" w:type="default"/>
          <w:footerReference r:id="rId37" w:type="default"/>
          <w:headerReference r:id="rId35" w:type="even"/>
          <w:pgSz w:w="16840" w:h="11907" w:orient="landscape"/>
          <w:pgMar w:top="1134" w:right="1134" w:bottom="1134" w:left="1134" w:header="964" w:footer="992" w:gutter="0"/>
          <w:cols w:space="720" w:num="1"/>
          <w:titlePg/>
          <w:docGrid w:linePitch="312" w:charSpace="0"/>
        </w:sectPr>
      </w:pPr>
    </w:p>
    <w:p w14:paraId="4D7D3F24">
      <w:pPr>
        <w:adjustRightInd w:val="0"/>
        <w:snapToGrid w:val="0"/>
        <w:spacing w:line="420" w:lineRule="exact"/>
        <w:rPr>
          <w:rFonts w:hint="eastAsia" w:ascii="宋体" w:hAnsi="宋体" w:cs="宋体"/>
          <w:szCs w:val="21"/>
        </w:rPr>
      </w:pPr>
    </w:p>
    <w:p w14:paraId="58EC30AD">
      <w:pPr>
        <w:autoSpaceDE w:val="0"/>
        <w:autoSpaceDN w:val="0"/>
        <w:adjustRightInd w:val="0"/>
        <w:snapToGrid w:val="0"/>
        <w:spacing w:line="360" w:lineRule="auto"/>
        <w:outlineLvl w:val="1"/>
        <w:rPr>
          <w:rFonts w:ascii="仿宋_GB2312"/>
          <w:b/>
          <w:spacing w:val="1"/>
          <w:w w:val="99"/>
          <w:kern w:val="0"/>
          <w:sz w:val="28"/>
          <w:szCs w:val="28"/>
        </w:rPr>
      </w:pPr>
      <w:bookmarkStart w:id="819" w:name="_Toc1706"/>
      <w:bookmarkStart w:id="820" w:name="_Toc312325945"/>
      <w:bookmarkStart w:id="821" w:name="_Toc1478"/>
      <w:bookmarkStart w:id="822" w:name="_Toc8342"/>
      <w:bookmarkStart w:id="823" w:name="_Toc148061415"/>
      <w:bookmarkStart w:id="824" w:name="_Toc312326158"/>
      <w:bookmarkStart w:id="825" w:name="_Toc310932797"/>
      <w:bookmarkStart w:id="826" w:name="_Toc4259"/>
      <w:bookmarkStart w:id="827" w:name="_Toc312326032"/>
      <w:r>
        <w:rPr>
          <w:rFonts w:hint="eastAsia" w:ascii="仿宋_GB2312"/>
          <w:b/>
          <w:spacing w:val="1"/>
          <w:w w:val="99"/>
          <w:kern w:val="0"/>
          <w:sz w:val="28"/>
          <w:szCs w:val="28"/>
        </w:rPr>
        <w:t>（5）比选供应商应提供的各类证明材料</w:t>
      </w:r>
      <w:bookmarkEnd w:id="819"/>
      <w:bookmarkEnd w:id="820"/>
      <w:bookmarkEnd w:id="821"/>
      <w:bookmarkEnd w:id="822"/>
      <w:bookmarkEnd w:id="823"/>
      <w:bookmarkEnd w:id="824"/>
      <w:bookmarkEnd w:id="825"/>
      <w:bookmarkEnd w:id="826"/>
      <w:bookmarkEnd w:id="827"/>
    </w:p>
    <w:p w14:paraId="78144C90">
      <w:pPr>
        <w:spacing w:line="500" w:lineRule="exact"/>
        <w:ind w:right="57" w:firstLine="945" w:firstLineChars="450"/>
        <w:rPr>
          <w:rFonts w:hint="eastAsia" w:ascii="宋体" w:hAnsi="宋体"/>
          <w:szCs w:val="21"/>
        </w:rPr>
      </w:pPr>
      <w:r>
        <w:rPr>
          <w:rFonts w:hint="eastAsia" w:ascii="宋体" w:hAnsi="宋体"/>
          <w:szCs w:val="21"/>
        </w:rPr>
        <w:t>比选供应商须按比选文件要求提供相应资料</w:t>
      </w:r>
    </w:p>
    <w:p w14:paraId="3DCA29D9">
      <w:pPr>
        <w:pStyle w:val="106"/>
        <w:spacing w:line="500" w:lineRule="exact"/>
        <w:ind w:left="1305" w:right="57" w:hanging="360" w:firstLineChars="0"/>
        <w:rPr>
          <w:rFonts w:hint="eastAsia" w:ascii="宋体" w:hAnsi="宋体"/>
          <w:szCs w:val="21"/>
        </w:rPr>
      </w:pPr>
      <w:r>
        <w:rPr>
          <w:rFonts w:ascii="宋体" w:hAnsi="宋体"/>
          <w:szCs w:val="21"/>
        </w:rPr>
        <w:t>①</w:t>
      </w:r>
      <w:r>
        <w:rPr>
          <w:rFonts w:hint="eastAsia" w:ascii="宋体" w:hAnsi="宋体"/>
          <w:szCs w:val="21"/>
        </w:rPr>
        <w:t>资格证明材料</w:t>
      </w:r>
    </w:p>
    <w:p w14:paraId="0FB4354A">
      <w:pPr>
        <w:pStyle w:val="106"/>
        <w:adjustRightInd w:val="0"/>
        <w:snapToGrid w:val="0"/>
        <w:spacing w:line="500" w:lineRule="exact"/>
        <w:ind w:left="1305" w:hanging="360" w:firstLineChars="0"/>
        <w:rPr>
          <w:rFonts w:hint="eastAsia" w:ascii="宋体" w:hAnsi="宋体"/>
          <w:szCs w:val="21"/>
        </w:rPr>
      </w:pPr>
      <w:r>
        <w:rPr>
          <w:rFonts w:ascii="宋体" w:hAnsi="宋体"/>
          <w:szCs w:val="21"/>
        </w:rPr>
        <w:t>②</w:t>
      </w:r>
      <w:r>
        <w:rPr>
          <w:rFonts w:hint="eastAsia" w:ascii="宋体" w:hAnsi="宋体"/>
          <w:szCs w:val="21"/>
        </w:rPr>
        <w:t>信誉声明</w:t>
      </w:r>
    </w:p>
    <w:p w14:paraId="0F6D07FD">
      <w:pPr>
        <w:pStyle w:val="106"/>
        <w:adjustRightInd w:val="0"/>
        <w:snapToGrid w:val="0"/>
        <w:spacing w:line="500" w:lineRule="exact"/>
        <w:ind w:left="1305" w:hanging="360" w:firstLineChars="0"/>
        <w:rPr>
          <w:rFonts w:hint="eastAsia" w:ascii="宋体" w:hAnsi="宋体"/>
          <w:szCs w:val="21"/>
        </w:rPr>
      </w:pPr>
      <w:r>
        <w:rPr>
          <w:rFonts w:hint="eastAsia" w:ascii="宋体" w:hAnsi="宋体"/>
          <w:szCs w:val="21"/>
        </w:rPr>
        <w:t>③</w:t>
      </w:r>
      <w:r>
        <w:rPr>
          <w:rFonts w:hint="eastAsia" w:hAnsi="宋体"/>
          <w:szCs w:val="21"/>
        </w:rPr>
        <w:t>项目概况及要求偏离表</w:t>
      </w:r>
    </w:p>
    <w:p w14:paraId="64D83FE9">
      <w:pPr>
        <w:pStyle w:val="43"/>
      </w:pPr>
    </w:p>
    <w:p w14:paraId="5718C707">
      <w:pPr>
        <w:pStyle w:val="43"/>
      </w:pPr>
      <w:r>
        <w:br w:type="page"/>
      </w:r>
    </w:p>
    <w:p w14:paraId="6C983B45">
      <w:pPr>
        <w:spacing w:line="360" w:lineRule="auto"/>
        <w:jc w:val="center"/>
        <w:rPr>
          <w:rFonts w:hint="eastAsia" w:ascii="宋体" w:hAnsi="宋体"/>
          <w:b/>
          <w:bCs/>
          <w:spacing w:val="1"/>
          <w:w w:val="99"/>
          <w:kern w:val="0"/>
          <w:sz w:val="28"/>
          <w:szCs w:val="28"/>
        </w:rPr>
      </w:pPr>
      <w:r>
        <w:rPr>
          <w:rFonts w:hint="eastAsia" w:ascii="宋体" w:hAnsi="宋体"/>
          <w:b/>
          <w:bCs/>
          <w:spacing w:val="1"/>
          <w:w w:val="99"/>
          <w:kern w:val="0"/>
          <w:sz w:val="28"/>
          <w:szCs w:val="28"/>
        </w:rPr>
        <w:t>5.</w:t>
      </w:r>
      <w:r>
        <w:rPr>
          <w:rFonts w:ascii="宋体" w:hAnsi="宋体"/>
          <w:b/>
          <w:bCs/>
          <w:spacing w:val="1"/>
          <w:w w:val="99"/>
          <w:kern w:val="0"/>
          <w:sz w:val="28"/>
          <w:szCs w:val="28"/>
        </w:rPr>
        <w:t>1</w:t>
      </w:r>
      <w:r>
        <w:rPr>
          <w:rFonts w:hint="eastAsia" w:ascii="宋体" w:hAnsi="宋体"/>
          <w:b/>
          <w:bCs/>
          <w:spacing w:val="1"/>
          <w:w w:val="99"/>
          <w:kern w:val="0"/>
          <w:sz w:val="28"/>
          <w:szCs w:val="28"/>
        </w:rPr>
        <w:t>资格证明材料</w:t>
      </w:r>
    </w:p>
    <w:p w14:paraId="2726BD34">
      <w:pPr>
        <w:jc w:val="center"/>
        <w:rPr>
          <w:rFonts w:hint="eastAsia" w:ascii="宋体" w:hAnsi="宋体"/>
          <w:b/>
          <w:sz w:val="24"/>
          <w:szCs w:val="28"/>
        </w:rPr>
      </w:pPr>
      <w:r>
        <w:rPr>
          <w:rFonts w:hint="eastAsia" w:ascii="宋体" w:hAnsi="宋体"/>
          <w:b/>
          <w:sz w:val="24"/>
          <w:szCs w:val="28"/>
        </w:rPr>
        <w:t>（格</w:t>
      </w:r>
      <w:r>
        <w:rPr>
          <w:rFonts w:ascii="宋体" w:hAnsi="宋体"/>
          <w:b/>
          <w:sz w:val="24"/>
          <w:szCs w:val="28"/>
        </w:rPr>
        <w:t>式自拟）</w:t>
      </w:r>
    </w:p>
    <w:p w14:paraId="1435468A">
      <w:pPr>
        <w:adjustRightInd w:val="0"/>
        <w:snapToGrid w:val="0"/>
        <w:spacing w:line="500" w:lineRule="exact"/>
        <w:ind w:firstLine="1260" w:firstLineChars="450"/>
        <w:rPr>
          <w:rFonts w:ascii="宋体" w:hAnsi="Courier New"/>
          <w:sz w:val="28"/>
          <w:szCs w:val="28"/>
        </w:rPr>
      </w:pPr>
      <w:r>
        <w:rPr>
          <w:rFonts w:ascii="宋体" w:hAnsi="Courier New"/>
          <w:sz w:val="28"/>
          <w:szCs w:val="28"/>
        </w:rPr>
        <w:br w:type="page"/>
      </w:r>
    </w:p>
    <w:p w14:paraId="5ADFDD05">
      <w:pPr>
        <w:adjustRightInd w:val="0"/>
        <w:snapToGrid w:val="0"/>
        <w:spacing w:line="500" w:lineRule="exact"/>
        <w:jc w:val="center"/>
        <w:rPr>
          <w:rFonts w:hint="eastAsia" w:ascii="宋体" w:hAnsi="宋体"/>
          <w:b/>
          <w:bCs/>
          <w:spacing w:val="1"/>
          <w:w w:val="99"/>
          <w:kern w:val="0"/>
          <w:sz w:val="28"/>
          <w:szCs w:val="28"/>
        </w:rPr>
      </w:pPr>
      <w:r>
        <w:rPr>
          <w:rFonts w:hint="eastAsia" w:ascii="宋体" w:hAnsi="宋体"/>
          <w:b/>
          <w:bCs/>
          <w:spacing w:val="1"/>
          <w:w w:val="99"/>
          <w:kern w:val="0"/>
          <w:sz w:val="28"/>
          <w:szCs w:val="28"/>
        </w:rPr>
        <w:t>5.2</w:t>
      </w:r>
      <w:bookmarkStart w:id="828" w:name="_Hlk157967704"/>
      <w:bookmarkStart w:id="829" w:name="_Hlk157894699"/>
      <w:r>
        <w:rPr>
          <w:rFonts w:hint="eastAsia" w:ascii="宋体" w:hAnsi="宋体"/>
          <w:b/>
          <w:bCs/>
          <w:spacing w:val="1"/>
          <w:w w:val="99"/>
          <w:kern w:val="0"/>
          <w:sz w:val="28"/>
          <w:szCs w:val="28"/>
        </w:rPr>
        <w:t>信誉声明</w:t>
      </w:r>
    </w:p>
    <w:bookmarkEnd w:id="828"/>
    <w:bookmarkEnd w:id="829"/>
    <w:p w14:paraId="592EEE31">
      <w:pPr>
        <w:tabs>
          <w:tab w:val="left" w:pos="1680"/>
          <w:tab w:val="left" w:pos="4215"/>
          <w:tab w:val="left" w:pos="4305"/>
          <w:tab w:val="left" w:pos="7035"/>
        </w:tabs>
        <w:wordWrap w:val="0"/>
        <w:topLinePunct/>
        <w:adjustRightInd w:val="0"/>
        <w:snapToGrid w:val="0"/>
        <w:spacing w:line="460" w:lineRule="exact"/>
        <w:rPr>
          <w:rFonts w:hint="eastAsia" w:ascii="宋体" w:hAnsi="宋体" w:cs="宋体"/>
          <w:szCs w:val="21"/>
        </w:rPr>
      </w:pPr>
      <w:bookmarkStart w:id="830" w:name="_Hlk160789370"/>
      <w:r>
        <w:rPr>
          <w:rFonts w:hint="eastAsia" w:ascii="宋体" w:hAnsi="宋体" w:cs="宋体"/>
          <w:szCs w:val="21"/>
          <w:lang w:bidi="ar"/>
        </w:rPr>
        <w:t>致：</w:t>
      </w:r>
      <w:r>
        <w:rPr>
          <w:rFonts w:hint="eastAsia" w:ascii="宋体" w:hAnsi="宋体" w:cs="宋体"/>
          <w:szCs w:val="21"/>
          <w:u w:val="single"/>
          <w:lang w:bidi="ar"/>
        </w:rPr>
        <w:t xml:space="preserve">                   </w:t>
      </w:r>
      <w:r>
        <w:rPr>
          <w:rFonts w:hint="eastAsia" w:ascii="宋体" w:hAnsi="宋体" w:cs="宋体"/>
          <w:szCs w:val="21"/>
          <w:lang w:bidi="ar"/>
        </w:rPr>
        <w:t>（比选人名称）：</w:t>
      </w:r>
    </w:p>
    <w:p w14:paraId="7874C4C9">
      <w:pPr>
        <w:tabs>
          <w:tab w:val="left" w:pos="1680"/>
          <w:tab w:val="left" w:pos="4215"/>
          <w:tab w:val="left" w:pos="4305"/>
          <w:tab w:val="left" w:pos="7035"/>
        </w:tabs>
        <w:wordWrap w:val="0"/>
        <w:topLinePunct/>
        <w:adjustRightInd w:val="0"/>
        <w:snapToGrid w:val="0"/>
        <w:spacing w:line="460" w:lineRule="exact"/>
        <w:ind w:firstLine="420"/>
        <w:rPr>
          <w:rFonts w:hint="eastAsia" w:ascii="宋体" w:hAnsi="宋体" w:cs="宋体"/>
          <w:szCs w:val="21"/>
        </w:rPr>
      </w:pPr>
      <w:r>
        <w:rPr>
          <w:rFonts w:hint="eastAsia" w:ascii="宋体" w:hAnsi="宋体" w:cs="宋体"/>
          <w:szCs w:val="21"/>
        </w:rPr>
        <w:t>我是参与</w:t>
      </w:r>
      <w:r>
        <w:rPr>
          <w:rFonts w:hint="eastAsia" w:ascii="宋体" w:hAnsi="宋体" w:cs="宋体"/>
          <w:szCs w:val="21"/>
          <w:u w:val="single"/>
        </w:rPr>
        <w:t xml:space="preserve">                  （项目名称）</w:t>
      </w:r>
      <w:r>
        <w:rPr>
          <w:rFonts w:hint="eastAsia" w:ascii="宋体" w:hAnsi="宋体" w:cs="宋体"/>
          <w:szCs w:val="21"/>
        </w:rPr>
        <w:t>的比选供应商，在此承诺我公司具有良好的商业信誉，没有被责令停业、暂停比选（投标）资格，近三年（</w:t>
      </w:r>
      <w:r>
        <w:rPr>
          <w:rFonts w:hint="eastAsia" w:ascii="宋体" w:hAnsi="宋体" w:cs="宋体"/>
          <w:szCs w:val="21"/>
          <w:u w:val="single"/>
        </w:rPr>
        <w:t>2023年5月1日</w:t>
      </w:r>
      <w:r>
        <w:rPr>
          <w:rFonts w:hint="eastAsia" w:ascii="宋体" w:hAnsi="宋体" w:cs="宋体"/>
          <w:szCs w:val="21"/>
        </w:rPr>
        <w:t>起至比选截止日）在“信用中国网”</w:t>
      </w:r>
      <w:r>
        <w:rPr>
          <w:rFonts w:hint="eastAsia" w:ascii="宋体" w:hAnsi="宋体" w:cs="宋体"/>
        </w:rPr>
        <w:t>无严重失信主体名单信息记录</w:t>
      </w:r>
      <w:r>
        <w:rPr>
          <w:rFonts w:hint="eastAsia" w:ascii="宋体" w:hAnsi="宋体" w:cs="宋体"/>
          <w:szCs w:val="21"/>
        </w:rPr>
        <w:t>、在“中国政府采购网”无政府采购严重违法失信行为信息记录、在“国家企业信用信息公示系统”无严重违法失信名单(黑名单)信息记录，我单位及其法定代表人(或负责人)无行贿行为且在“中国裁判文书网”无行贿犯罪记录。</w:t>
      </w:r>
    </w:p>
    <w:p w14:paraId="32AE3DF1">
      <w:pPr>
        <w:tabs>
          <w:tab w:val="left" w:pos="5460"/>
        </w:tabs>
        <w:wordWrap w:val="0"/>
        <w:topLinePunct/>
        <w:adjustRightInd w:val="0"/>
        <w:snapToGrid w:val="0"/>
        <w:spacing w:line="460" w:lineRule="exact"/>
        <w:ind w:firstLine="2100"/>
        <w:jc w:val="right"/>
        <w:rPr>
          <w:rFonts w:hint="eastAsia" w:ascii="宋体" w:hAnsi="宋体" w:cs="宋体"/>
          <w:kern w:val="0"/>
          <w:szCs w:val="21"/>
        </w:rPr>
      </w:pPr>
      <w:r>
        <w:rPr>
          <w:rFonts w:hint="eastAsia" w:ascii="宋体" w:hAnsi="宋体" w:cs="宋体"/>
          <w:kern w:val="0"/>
          <w:szCs w:val="21"/>
          <w:lang w:bidi="ar"/>
        </w:rPr>
        <w:t>比选供应商：</w:t>
      </w:r>
      <w:r>
        <w:rPr>
          <w:rFonts w:hint="eastAsia" w:ascii="宋体" w:hAnsi="宋体" w:cs="宋体"/>
          <w:w w:val="200"/>
          <w:kern w:val="0"/>
          <w:szCs w:val="21"/>
          <w:u w:val="single"/>
          <w:lang w:bidi="ar"/>
        </w:rPr>
        <w:t xml:space="preserve"> </w:t>
      </w:r>
      <w:r>
        <w:rPr>
          <w:rFonts w:hint="eastAsia" w:ascii="宋体" w:hAnsi="宋体" w:cs="宋体"/>
          <w:kern w:val="0"/>
          <w:szCs w:val="21"/>
          <w:u w:val="single"/>
          <w:lang w:bidi="ar"/>
        </w:rPr>
        <w:tab/>
      </w:r>
      <w:r>
        <w:rPr>
          <w:rFonts w:hint="eastAsia" w:ascii="宋体" w:hAnsi="宋体" w:cs="宋体"/>
          <w:spacing w:val="-1"/>
          <w:kern w:val="0"/>
          <w:szCs w:val="21"/>
          <w:lang w:bidi="ar"/>
        </w:rPr>
        <w:t>（</w:t>
      </w:r>
      <w:r>
        <w:rPr>
          <w:rFonts w:hint="eastAsia" w:ascii="宋体" w:hAnsi="宋体" w:cs="宋体"/>
          <w:kern w:val="0"/>
          <w:szCs w:val="21"/>
          <w:lang w:bidi="ar"/>
        </w:rPr>
        <w:t>盖单位公章）</w:t>
      </w:r>
    </w:p>
    <w:p w14:paraId="618B282E">
      <w:pPr>
        <w:wordWrap w:val="0"/>
        <w:topLinePunct/>
        <w:adjustRightInd w:val="0"/>
        <w:snapToGrid w:val="0"/>
        <w:spacing w:line="460" w:lineRule="exact"/>
        <w:jc w:val="right"/>
        <w:rPr>
          <w:rFonts w:hint="eastAsia" w:ascii="宋体" w:hAnsi="宋体" w:cs="宋体"/>
          <w:kern w:val="0"/>
          <w:szCs w:val="21"/>
        </w:rPr>
      </w:pPr>
    </w:p>
    <w:p w14:paraId="3291608D">
      <w:pPr>
        <w:wordWrap w:val="0"/>
        <w:topLinePunct/>
        <w:jc w:val="right"/>
        <w:rPr>
          <w:rFonts w:hint="eastAsia" w:ascii="宋体" w:hAnsi="宋体" w:cs="宋体"/>
          <w:kern w:val="0"/>
          <w:szCs w:val="21"/>
          <w:lang w:bidi="ar"/>
        </w:rPr>
      </w:pPr>
      <w:r>
        <w:rPr>
          <w:rFonts w:hint="eastAsia" w:ascii="宋体" w:hAnsi="宋体" w:cs="宋体"/>
          <w:w w:val="200"/>
          <w:kern w:val="0"/>
          <w:szCs w:val="21"/>
          <w:u w:val="single"/>
          <w:lang w:bidi="ar"/>
        </w:rPr>
        <w:t xml:space="preserve"> </w:t>
      </w:r>
      <w:r>
        <w:rPr>
          <w:rFonts w:hint="eastAsia" w:ascii="宋体" w:hAnsi="宋体" w:cs="宋体"/>
          <w:kern w:val="0"/>
          <w:szCs w:val="21"/>
          <w:u w:val="single"/>
          <w:lang w:bidi="ar"/>
        </w:rPr>
        <w:tab/>
      </w:r>
      <w:r>
        <w:rPr>
          <w:rFonts w:hint="eastAsia" w:ascii="宋体" w:hAnsi="宋体" w:cs="宋体"/>
          <w:spacing w:val="-1"/>
          <w:kern w:val="0"/>
          <w:szCs w:val="21"/>
          <w:lang w:bidi="ar"/>
        </w:rPr>
        <w:t>年</w:t>
      </w:r>
      <w:r>
        <w:rPr>
          <w:rFonts w:hint="eastAsia" w:ascii="宋体" w:hAnsi="宋体" w:cs="宋体"/>
          <w:w w:val="200"/>
          <w:kern w:val="0"/>
          <w:szCs w:val="21"/>
          <w:u w:val="single"/>
          <w:lang w:bidi="ar"/>
        </w:rPr>
        <w:t xml:space="preserve">   </w:t>
      </w:r>
      <w:r>
        <w:rPr>
          <w:rFonts w:hint="eastAsia" w:ascii="宋体" w:hAnsi="宋体" w:cs="宋体"/>
          <w:kern w:val="0"/>
          <w:szCs w:val="21"/>
          <w:lang w:bidi="ar"/>
        </w:rPr>
        <w:t>月</w:t>
      </w:r>
      <w:r>
        <w:rPr>
          <w:rFonts w:hint="eastAsia" w:ascii="宋体" w:hAnsi="宋体" w:cs="宋体"/>
          <w:w w:val="200"/>
          <w:kern w:val="0"/>
          <w:szCs w:val="21"/>
          <w:u w:val="single"/>
          <w:lang w:bidi="ar"/>
        </w:rPr>
        <w:t xml:space="preserve">   </w:t>
      </w:r>
      <w:r>
        <w:rPr>
          <w:rFonts w:hint="eastAsia" w:ascii="宋体" w:hAnsi="宋体" w:cs="宋体"/>
          <w:kern w:val="0"/>
          <w:szCs w:val="21"/>
          <w:lang w:bidi="ar"/>
        </w:rPr>
        <w:t>日</w:t>
      </w:r>
    </w:p>
    <w:bookmarkEnd w:id="830"/>
    <w:p w14:paraId="0E31D406">
      <w:pPr>
        <w:spacing w:line="360" w:lineRule="auto"/>
      </w:pPr>
      <w:r>
        <w:rPr>
          <w:rFonts w:hAnsi="宋体"/>
          <w:spacing w:val="-4"/>
          <w:szCs w:val="21"/>
        </w:rPr>
        <w:br w:type="page"/>
      </w:r>
    </w:p>
    <w:p w14:paraId="289F92A5">
      <w:pPr>
        <w:adjustRightInd w:val="0"/>
        <w:snapToGrid w:val="0"/>
        <w:spacing w:line="500" w:lineRule="exact"/>
        <w:jc w:val="center"/>
        <w:rPr>
          <w:rFonts w:hint="default" w:ascii="宋体" w:hAnsi="宋体" w:eastAsia="宋体"/>
          <w:b/>
          <w:bCs/>
          <w:spacing w:val="1"/>
          <w:w w:val="99"/>
          <w:kern w:val="0"/>
          <w:sz w:val="28"/>
          <w:szCs w:val="28"/>
          <w:lang w:val="en-US" w:eastAsia="zh-CN"/>
        </w:rPr>
      </w:pPr>
      <w:r>
        <w:rPr>
          <w:rFonts w:hint="eastAsia" w:ascii="宋体" w:hAnsi="宋体"/>
          <w:b/>
          <w:bCs/>
          <w:spacing w:val="1"/>
          <w:w w:val="99"/>
          <w:kern w:val="0"/>
          <w:sz w:val="28"/>
          <w:szCs w:val="28"/>
        </w:rPr>
        <w:t>5</w:t>
      </w:r>
      <w:r>
        <w:rPr>
          <w:rFonts w:ascii="宋体" w:hAnsi="宋体"/>
          <w:b/>
          <w:bCs/>
          <w:spacing w:val="1"/>
          <w:w w:val="99"/>
          <w:kern w:val="0"/>
          <w:sz w:val="28"/>
          <w:szCs w:val="28"/>
        </w:rPr>
        <w:t>.</w:t>
      </w:r>
      <w:r>
        <w:rPr>
          <w:rFonts w:hint="eastAsia" w:ascii="宋体" w:hAnsi="宋体"/>
          <w:b/>
          <w:bCs/>
          <w:spacing w:val="1"/>
          <w:w w:val="99"/>
          <w:kern w:val="0"/>
          <w:sz w:val="28"/>
          <w:szCs w:val="28"/>
        </w:rPr>
        <w:t>3</w:t>
      </w:r>
      <w:r>
        <w:rPr>
          <w:rFonts w:hint="eastAsia" w:ascii="宋体" w:hAnsi="宋体"/>
          <w:b/>
          <w:bCs/>
          <w:spacing w:val="1"/>
          <w:w w:val="99"/>
          <w:kern w:val="0"/>
          <w:sz w:val="28"/>
          <w:szCs w:val="28"/>
          <w:lang w:val="en-US" w:eastAsia="zh-CN"/>
        </w:rPr>
        <w:t>项目概况及要求偏离表</w:t>
      </w:r>
    </w:p>
    <w:tbl>
      <w:tblPr>
        <w:tblStyle w:val="75"/>
        <w:tblW w:w="54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2175"/>
        <w:gridCol w:w="1966"/>
        <w:gridCol w:w="3386"/>
        <w:gridCol w:w="1728"/>
      </w:tblGrid>
      <w:tr w14:paraId="5467E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38" w:type="pct"/>
            <w:vAlign w:val="center"/>
          </w:tcPr>
          <w:p w14:paraId="2E9BB761">
            <w:pPr>
              <w:widowControl/>
              <w:wordWrap w:val="0"/>
              <w:spacing w:line="276" w:lineRule="auto"/>
              <w:jc w:val="center"/>
              <w:rPr>
                <w:rFonts w:ascii="宋体" w:hAnsi="宋体" w:cs="宋体"/>
                <w:b/>
                <w:bCs/>
                <w:color w:val="auto"/>
                <w:kern w:val="0"/>
                <w:szCs w:val="21"/>
              </w:rPr>
            </w:pPr>
            <w:r>
              <w:rPr>
                <w:rFonts w:hint="eastAsia" w:ascii="宋体" w:hAnsi="宋体" w:cs="宋体"/>
                <w:b/>
                <w:bCs/>
                <w:color w:val="auto"/>
                <w:kern w:val="0"/>
                <w:szCs w:val="21"/>
              </w:rPr>
              <w:t>序号</w:t>
            </w:r>
          </w:p>
        </w:tc>
        <w:tc>
          <w:tcPr>
            <w:tcW w:w="1095" w:type="pct"/>
            <w:vAlign w:val="center"/>
          </w:tcPr>
          <w:p w14:paraId="6900C535">
            <w:pPr>
              <w:widowControl/>
              <w:wordWrap w:val="0"/>
              <w:spacing w:line="276" w:lineRule="auto"/>
              <w:jc w:val="center"/>
              <w:rPr>
                <w:rFonts w:ascii="宋体" w:hAnsi="宋体" w:cs="宋体"/>
                <w:b/>
                <w:bCs/>
                <w:color w:val="auto"/>
                <w:kern w:val="0"/>
                <w:szCs w:val="21"/>
              </w:rPr>
            </w:pPr>
            <w:r>
              <w:rPr>
                <w:rFonts w:hint="eastAsia" w:ascii="宋体" w:hAnsi="宋体" w:cs="宋体"/>
                <w:b/>
                <w:bCs/>
                <w:color w:val="auto"/>
                <w:szCs w:val="21"/>
                <w:lang w:val="en-US" w:eastAsia="zh-CN"/>
              </w:rPr>
              <w:t>比选</w:t>
            </w:r>
            <w:r>
              <w:rPr>
                <w:rFonts w:hint="eastAsia" w:ascii="宋体" w:hAnsi="宋体" w:cs="宋体"/>
                <w:b/>
                <w:bCs/>
                <w:color w:val="auto"/>
                <w:szCs w:val="21"/>
              </w:rPr>
              <w:t>文件要求</w:t>
            </w:r>
          </w:p>
        </w:tc>
        <w:tc>
          <w:tcPr>
            <w:tcW w:w="990" w:type="pct"/>
            <w:vAlign w:val="center"/>
          </w:tcPr>
          <w:p w14:paraId="2E73E9C7">
            <w:pPr>
              <w:widowControl/>
              <w:wordWrap w:val="0"/>
              <w:spacing w:line="276" w:lineRule="auto"/>
              <w:jc w:val="center"/>
              <w:rPr>
                <w:rFonts w:ascii="宋体" w:hAnsi="宋体" w:cs="宋体"/>
                <w:b/>
                <w:bCs/>
                <w:color w:val="auto"/>
                <w:szCs w:val="21"/>
              </w:rPr>
            </w:pPr>
            <w:r>
              <w:rPr>
                <w:rFonts w:hint="eastAsia" w:ascii="宋体" w:hAnsi="宋体" w:cs="宋体"/>
                <w:b/>
                <w:bCs/>
                <w:color w:val="auto"/>
                <w:szCs w:val="21"/>
                <w:lang w:val="en-US" w:eastAsia="zh-CN"/>
              </w:rPr>
              <w:t>比选</w:t>
            </w:r>
            <w:r>
              <w:rPr>
                <w:rFonts w:hint="eastAsia" w:ascii="宋体" w:hAnsi="宋体" w:cs="宋体"/>
                <w:b/>
                <w:bCs/>
                <w:color w:val="auto"/>
                <w:szCs w:val="21"/>
              </w:rPr>
              <w:t>响应内容</w:t>
            </w:r>
          </w:p>
        </w:tc>
        <w:tc>
          <w:tcPr>
            <w:tcW w:w="1705" w:type="pct"/>
            <w:vAlign w:val="center"/>
          </w:tcPr>
          <w:p w14:paraId="6BD1024B">
            <w:pPr>
              <w:wordWrap w:val="0"/>
              <w:spacing w:line="276" w:lineRule="auto"/>
              <w:jc w:val="center"/>
              <w:rPr>
                <w:rFonts w:ascii="宋体" w:hAnsi="宋体" w:cs="宋体"/>
                <w:b/>
                <w:bCs/>
                <w:color w:val="auto"/>
                <w:kern w:val="0"/>
                <w:szCs w:val="21"/>
              </w:rPr>
            </w:pPr>
            <w:r>
              <w:rPr>
                <w:rFonts w:hint="eastAsia" w:ascii="宋体" w:hAnsi="宋体" w:cs="宋体"/>
                <w:b/>
                <w:bCs/>
                <w:color w:val="auto"/>
                <w:szCs w:val="21"/>
              </w:rPr>
              <w:t>响应情况（正偏离/负偏离/无偏离）</w:t>
            </w:r>
          </w:p>
        </w:tc>
        <w:tc>
          <w:tcPr>
            <w:tcW w:w="870" w:type="pct"/>
            <w:vAlign w:val="center"/>
          </w:tcPr>
          <w:p w14:paraId="70FFFA74">
            <w:pPr>
              <w:widowControl/>
              <w:wordWrap w:val="0"/>
              <w:spacing w:line="276" w:lineRule="auto"/>
              <w:jc w:val="center"/>
              <w:rPr>
                <w:rFonts w:ascii="宋体" w:hAnsi="宋体" w:cs="宋体"/>
                <w:b/>
                <w:bCs/>
                <w:color w:val="auto"/>
                <w:kern w:val="0"/>
                <w:szCs w:val="21"/>
              </w:rPr>
            </w:pPr>
            <w:r>
              <w:rPr>
                <w:rFonts w:hint="eastAsia" w:ascii="宋体" w:hAnsi="宋体" w:cs="宋体"/>
                <w:b/>
                <w:bCs/>
                <w:color w:val="auto"/>
                <w:szCs w:val="21"/>
              </w:rPr>
              <w:t>偏离说明</w:t>
            </w:r>
          </w:p>
        </w:tc>
      </w:tr>
      <w:tr w14:paraId="347D2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8" w:type="pct"/>
            <w:vAlign w:val="center"/>
          </w:tcPr>
          <w:p w14:paraId="2AEF44D7">
            <w:pPr>
              <w:widowControl/>
              <w:wordWrap w:val="0"/>
              <w:spacing w:line="276" w:lineRule="auto"/>
              <w:jc w:val="center"/>
              <w:rPr>
                <w:rFonts w:ascii="宋体" w:hAnsi="宋体" w:cs="宋体"/>
                <w:color w:val="auto"/>
                <w:kern w:val="0"/>
                <w:szCs w:val="21"/>
              </w:rPr>
            </w:pPr>
            <w:r>
              <w:rPr>
                <w:rFonts w:hint="eastAsia" w:ascii="宋体" w:hAnsi="宋体" w:cs="宋体"/>
                <w:color w:val="auto"/>
                <w:kern w:val="0"/>
                <w:szCs w:val="21"/>
              </w:rPr>
              <w:t>1</w:t>
            </w:r>
          </w:p>
        </w:tc>
        <w:tc>
          <w:tcPr>
            <w:tcW w:w="1095" w:type="pct"/>
            <w:vAlign w:val="center"/>
          </w:tcPr>
          <w:p w14:paraId="09626ECE">
            <w:pPr>
              <w:wordWrap w:val="0"/>
              <w:snapToGrid w:val="0"/>
              <w:spacing w:line="400" w:lineRule="exact"/>
              <w:jc w:val="center"/>
              <w:rPr>
                <w:rFonts w:ascii="宋体" w:hAnsi="宋体" w:cs="宋体"/>
                <w:color w:val="auto"/>
                <w:kern w:val="0"/>
                <w:sz w:val="18"/>
                <w:szCs w:val="18"/>
              </w:rPr>
            </w:pPr>
          </w:p>
        </w:tc>
        <w:tc>
          <w:tcPr>
            <w:tcW w:w="990" w:type="pct"/>
            <w:vAlign w:val="center"/>
          </w:tcPr>
          <w:p w14:paraId="17C7ED0F">
            <w:pPr>
              <w:wordWrap w:val="0"/>
              <w:snapToGrid w:val="0"/>
              <w:spacing w:line="400" w:lineRule="exact"/>
              <w:jc w:val="center"/>
              <w:rPr>
                <w:rFonts w:ascii="宋体" w:hAnsi="宋体" w:cs="宋体"/>
                <w:color w:val="auto"/>
                <w:kern w:val="0"/>
                <w:sz w:val="18"/>
                <w:szCs w:val="18"/>
              </w:rPr>
            </w:pPr>
          </w:p>
        </w:tc>
        <w:tc>
          <w:tcPr>
            <w:tcW w:w="1705" w:type="pct"/>
            <w:vAlign w:val="center"/>
          </w:tcPr>
          <w:p w14:paraId="6263958B">
            <w:pPr>
              <w:wordWrap w:val="0"/>
              <w:snapToGrid w:val="0"/>
              <w:spacing w:line="400" w:lineRule="exact"/>
              <w:jc w:val="center"/>
              <w:rPr>
                <w:rFonts w:ascii="宋体" w:hAnsi="宋体" w:cs="宋体"/>
                <w:color w:val="auto"/>
                <w:kern w:val="0"/>
                <w:sz w:val="18"/>
                <w:szCs w:val="18"/>
              </w:rPr>
            </w:pPr>
          </w:p>
        </w:tc>
        <w:tc>
          <w:tcPr>
            <w:tcW w:w="870" w:type="pct"/>
            <w:vAlign w:val="center"/>
          </w:tcPr>
          <w:p w14:paraId="583D5103">
            <w:pPr>
              <w:wordWrap w:val="0"/>
              <w:snapToGrid w:val="0"/>
              <w:spacing w:line="400" w:lineRule="exact"/>
              <w:jc w:val="center"/>
              <w:rPr>
                <w:rFonts w:ascii="宋体" w:hAnsi="宋体" w:cs="宋体"/>
                <w:color w:val="auto"/>
                <w:kern w:val="0"/>
                <w:sz w:val="18"/>
                <w:szCs w:val="18"/>
              </w:rPr>
            </w:pPr>
          </w:p>
        </w:tc>
      </w:tr>
      <w:tr w14:paraId="64B2E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8" w:type="pct"/>
            <w:vAlign w:val="center"/>
          </w:tcPr>
          <w:p w14:paraId="252AADA5">
            <w:pPr>
              <w:widowControl/>
              <w:wordWrap w:val="0"/>
              <w:spacing w:line="276" w:lineRule="auto"/>
              <w:jc w:val="center"/>
              <w:rPr>
                <w:rFonts w:ascii="宋体" w:hAnsi="宋体" w:cs="宋体"/>
                <w:color w:val="auto"/>
                <w:kern w:val="0"/>
                <w:szCs w:val="21"/>
              </w:rPr>
            </w:pPr>
            <w:r>
              <w:rPr>
                <w:rFonts w:hint="eastAsia" w:ascii="宋体" w:hAnsi="宋体" w:cs="宋体"/>
                <w:color w:val="auto"/>
                <w:kern w:val="0"/>
                <w:szCs w:val="21"/>
              </w:rPr>
              <w:t>2</w:t>
            </w:r>
          </w:p>
        </w:tc>
        <w:tc>
          <w:tcPr>
            <w:tcW w:w="1095" w:type="pct"/>
            <w:vAlign w:val="center"/>
          </w:tcPr>
          <w:p w14:paraId="2FC0FA56">
            <w:pPr>
              <w:wordWrap w:val="0"/>
              <w:snapToGrid w:val="0"/>
              <w:spacing w:line="400" w:lineRule="exact"/>
              <w:jc w:val="center"/>
              <w:rPr>
                <w:rFonts w:ascii="宋体" w:hAnsi="宋体" w:cs="宋体"/>
                <w:color w:val="auto"/>
                <w:kern w:val="0"/>
                <w:sz w:val="18"/>
                <w:szCs w:val="18"/>
              </w:rPr>
            </w:pPr>
          </w:p>
        </w:tc>
        <w:tc>
          <w:tcPr>
            <w:tcW w:w="990" w:type="pct"/>
            <w:vAlign w:val="center"/>
          </w:tcPr>
          <w:p w14:paraId="4B0603CC">
            <w:pPr>
              <w:wordWrap w:val="0"/>
              <w:snapToGrid w:val="0"/>
              <w:spacing w:line="400" w:lineRule="exact"/>
              <w:jc w:val="center"/>
              <w:rPr>
                <w:rFonts w:ascii="宋体" w:hAnsi="宋体" w:cs="宋体"/>
                <w:color w:val="auto"/>
                <w:kern w:val="0"/>
                <w:sz w:val="18"/>
                <w:szCs w:val="18"/>
              </w:rPr>
            </w:pPr>
          </w:p>
        </w:tc>
        <w:tc>
          <w:tcPr>
            <w:tcW w:w="1705" w:type="pct"/>
            <w:vAlign w:val="center"/>
          </w:tcPr>
          <w:p w14:paraId="32573906">
            <w:pPr>
              <w:wordWrap w:val="0"/>
              <w:snapToGrid w:val="0"/>
              <w:spacing w:line="400" w:lineRule="exact"/>
              <w:jc w:val="center"/>
              <w:rPr>
                <w:rFonts w:ascii="宋体" w:hAnsi="宋体" w:cs="宋体"/>
                <w:color w:val="auto"/>
                <w:kern w:val="0"/>
                <w:sz w:val="18"/>
                <w:szCs w:val="18"/>
              </w:rPr>
            </w:pPr>
          </w:p>
        </w:tc>
        <w:tc>
          <w:tcPr>
            <w:tcW w:w="870" w:type="pct"/>
            <w:vAlign w:val="center"/>
          </w:tcPr>
          <w:p w14:paraId="4185BBC4">
            <w:pPr>
              <w:wordWrap w:val="0"/>
              <w:snapToGrid w:val="0"/>
              <w:spacing w:line="400" w:lineRule="exact"/>
              <w:jc w:val="center"/>
              <w:rPr>
                <w:rFonts w:ascii="宋体" w:hAnsi="宋体" w:cs="宋体"/>
                <w:color w:val="auto"/>
                <w:kern w:val="0"/>
                <w:sz w:val="18"/>
                <w:szCs w:val="18"/>
              </w:rPr>
            </w:pPr>
          </w:p>
        </w:tc>
      </w:tr>
      <w:tr w14:paraId="067FC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8" w:type="pct"/>
            <w:vAlign w:val="center"/>
          </w:tcPr>
          <w:p w14:paraId="492AD557">
            <w:pPr>
              <w:widowControl/>
              <w:wordWrap w:val="0"/>
              <w:spacing w:line="276" w:lineRule="auto"/>
              <w:jc w:val="center"/>
              <w:rPr>
                <w:rFonts w:ascii="宋体" w:hAnsi="宋体" w:cs="宋体"/>
                <w:color w:val="auto"/>
                <w:kern w:val="0"/>
                <w:szCs w:val="21"/>
              </w:rPr>
            </w:pPr>
            <w:r>
              <w:rPr>
                <w:rFonts w:hint="eastAsia" w:ascii="宋体" w:hAnsi="宋体" w:cs="宋体"/>
                <w:color w:val="auto"/>
                <w:kern w:val="0"/>
                <w:szCs w:val="21"/>
              </w:rPr>
              <w:t>3</w:t>
            </w:r>
          </w:p>
        </w:tc>
        <w:tc>
          <w:tcPr>
            <w:tcW w:w="1095" w:type="pct"/>
            <w:vAlign w:val="center"/>
          </w:tcPr>
          <w:p w14:paraId="7B236FBA">
            <w:pPr>
              <w:wordWrap w:val="0"/>
              <w:snapToGrid w:val="0"/>
              <w:spacing w:line="400" w:lineRule="exact"/>
              <w:jc w:val="center"/>
              <w:rPr>
                <w:rFonts w:ascii="宋体" w:hAnsi="宋体" w:cs="宋体"/>
                <w:color w:val="auto"/>
                <w:kern w:val="0"/>
                <w:sz w:val="18"/>
                <w:szCs w:val="18"/>
              </w:rPr>
            </w:pPr>
          </w:p>
        </w:tc>
        <w:tc>
          <w:tcPr>
            <w:tcW w:w="990" w:type="pct"/>
            <w:vAlign w:val="center"/>
          </w:tcPr>
          <w:p w14:paraId="4938ABE1">
            <w:pPr>
              <w:wordWrap w:val="0"/>
              <w:snapToGrid w:val="0"/>
              <w:spacing w:line="400" w:lineRule="exact"/>
              <w:jc w:val="center"/>
              <w:rPr>
                <w:rFonts w:ascii="宋体" w:hAnsi="宋体" w:cs="宋体"/>
                <w:color w:val="auto"/>
                <w:kern w:val="0"/>
                <w:sz w:val="18"/>
                <w:szCs w:val="18"/>
              </w:rPr>
            </w:pPr>
          </w:p>
        </w:tc>
        <w:tc>
          <w:tcPr>
            <w:tcW w:w="1705" w:type="pct"/>
            <w:vAlign w:val="center"/>
          </w:tcPr>
          <w:p w14:paraId="05EFC342">
            <w:pPr>
              <w:wordWrap w:val="0"/>
              <w:snapToGrid w:val="0"/>
              <w:spacing w:line="400" w:lineRule="exact"/>
              <w:jc w:val="center"/>
              <w:rPr>
                <w:rFonts w:ascii="宋体" w:hAnsi="宋体" w:cs="宋体"/>
                <w:color w:val="auto"/>
                <w:kern w:val="0"/>
                <w:sz w:val="18"/>
                <w:szCs w:val="18"/>
              </w:rPr>
            </w:pPr>
          </w:p>
        </w:tc>
        <w:tc>
          <w:tcPr>
            <w:tcW w:w="870" w:type="pct"/>
            <w:vAlign w:val="center"/>
          </w:tcPr>
          <w:p w14:paraId="0EE7A2CB">
            <w:pPr>
              <w:wordWrap w:val="0"/>
              <w:snapToGrid w:val="0"/>
              <w:spacing w:line="400" w:lineRule="exact"/>
              <w:jc w:val="center"/>
              <w:rPr>
                <w:rFonts w:ascii="宋体" w:hAnsi="宋体" w:cs="宋体"/>
                <w:color w:val="auto"/>
                <w:kern w:val="0"/>
                <w:sz w:val="18"/>
                <w:szCs w:val="18"/>
              </w:rPr>
            </w:pPr>
          </w:p>
        </w:tc>
      </w:tr>
      <w:tr w14:paraId="4E6A1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8" w:type="pct"/>
            <w:vAlign w:val="center"/>
          </w:tcPr>
          <w:p w14:paraId="17C62EA2">
            <w:pPr>
              <w:widowControl/>
              <w:wordWrap w:val="0"/>
              <w:spacing w:line="276" w:lineRule="auto"/>
              <w:jc w:val="center"/>
              <w:rPr>
                <w:rFonts w:ascii="宋体" w:hAnsi="宋体" w:cs="宋体"/>
                <w:color w:val="auto"/>
                <w:kern w:val="0"/>
                <w:szCs w:val="21"/>
              </w:rPr>
            </w:pPr>
            <w:r>
              <w:rPr>
                <w:rFonts w:hint="eastAsia" w:ascii="宋体" w:hAnsi="宋体" w:cs="宋体"/>
                <w:color w:val="auto"/>
                <w:kern w:val="0"/>
                <w:szCs w:val="21"/>
              </w:rPr>
              <w:t>4</w:t>
            </w:r>
          </w:p>
        </w:tc>
        <w:tc>
          <w:tcPr>
            <w:tcW w:w="1095" w:type="pct"/>
            <w:vAlign w:val="center"/>
          </w:tcPr>
          <w:p w14:paraId="4FFDF787">
            <w:pPr>
              <w:wordWrap w:val="0"/>
              <w:snapToGrid w:val="0"/>
              <w:spacing w:line="400" w:lineRule="exact"/>
              <w:jc w:val="center"/>
              <w:rPr>
                <w:rFonts w:ascii="宋体" w:hAnsi="宋体" w:cs="宋体"/>
                <w:color w:val="auto"/>
                <w:kern w:val="0"/>
                <w:sz w:val="18"/>
                <w:szCs w:val="18"/>
              </w:rPr>
            </w:pPr>
          </w:p>
        </w:tc>
        <w:tc>
          <w:tcPr>
            <w:tcW w:w="990" w:type="pct"/>
            <w:vAlign w:val="center"/>
          </w:tcPr>
          <w:p w14:paraId="11CE0CD3">
            <w:pPr>
              <w:wordWrap w:val="0"/>
              <w:snapToGrid w:val="0"/>
              <w:spacing w:line="400" w:lineRule="exact"/>
              <w:jc w:val="center"/>
              <w:rPr>
                <w:rFonts w:ascii="宋体" w:hAnsi="宋体" w:cs="宋体"/>
                <w:color w:val="auto"/>
                <w:kern w:val="0"/>
                <w:sz w:val="18"/>
                <w:szCs w:val="18"/>
              </w:rPr>
            </w:pPr>
          </w:p>
        </w:tc>
        <w:tc>
          <w:tcPr>
            <w:tcW w:w="1705" w:type="pct"/>
            <w:vAlign w:val="center"/>
          </w:tcPr>
          <w:p w14:paraId="6C6169C1">
            <w:pPr>
              <w:wordWrap w:val="0"/>
              <w:snapToGrid w:val="0"/>
              <w:spacing w:line="400" w:lineRule="exact"/>
              <w:jc w:val="center"/>
              <w:rPr>
                <w:rFonts w:ascii="宋体" w:hAnsi="宋体" w:cs="宋体"/>
                <w:color w:val="auto"/>
                <w:kern w:val="0"/>
                <w:sz w:val="18"/>
                <w:szCs w:val="18"/>
              </w:rPr>
            </w:pPr>
          </w:p>
        </w:tc>
        <w:tc>
          <w:tcPr>
            <w:tcW w:w="870" w:type="pct"/>
            <w:vAlign w:val="center"/>
          </w:tcPr>
          <w:p w14:paraId="6A433C86">
            <w:pPr>
              <w:wordWrap w:val="0"/>
              <w:snapToGrid w:val="0"/>
              <w:spacing w:line="400" w:lineRule="exact"/>
              <w:jc w:val="center"/>
              <w:rPr>
                <w:rFonts w:ascii="宋体" w:hAnsi="宋体" w:cs="宋体"/>
                <w:color w:val="auto"/>
                <w:kern w:val="0"/>
                <w:sz w:val="18"/>
                <w:szCs w:val="18"/>
              </w:rPr>
            </w:pPr>
          </w:p>
        </w:tc>
      </w:tr>
      <w:tr w14:paraId="44693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8" w:type="pct"/>
            <w:vAlign w:val="center"/>
          </w:tcPr>
          <w:p w14:paraId="30CD478E">
            <w:pPr>
              <w:widowControl/>
              <w:wordWrap w:val="0"/>
              <w:spacing w:line="276" w:lineRule="auto"/>
              <w:jc w:val="center"/>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5</w:t>
            </w:r>
          </w:p>
        </w:tc>
        <w:tc>
          <w:tcPr>
            <w:tcW w:w="1095" w:type="pct"/>
            <w:vAlign w:val="center"/>
          </w:tcPr>
          <w:p w14:paraId="540CC2E7">
            <w:pPr>
              <w:wordWrap w:val="0"/>
              <w:snapToGrid w:val="0"/>
              <w:spacing w:line="400" w:lineRule="exact"/>
              <w:jc w:val="center"/>
              <w:rPr>
                <w:rFonts w:ascii="宋体" w:hAnsi="宋体" w:cs="宋体"/>
                <w:color w:val="auto"/>
                <w:kern w:val="0"/>
                <w:sz w:val="18"/>
                <w:szCs w:val="18"/>
              </w:rPr>
            </w:pPr>
          </w:p>
        </w:tc>
        <w:tc>
          <w:tcPr>
            <w:tcW w:w="990" w:type="pct"/>
            <w:vAlign w:val="center"/>
          </w:tcPr>
          <w:p w14:paraId="61230474">
            <w:pPr>
              <w:wordWrap w:val="0"/>
              <w:snapToGrid w:val="0"/>
              <w:spacing w:line="400" w:lineRule="exact"/>
              <w:jc w:val="center"/>
              <w:rPr>
                <w:rFonts w:ascii="宋体" w:hAnsi="宋体" w:cs="宋体"/>
                <w:color w:val="auto"/>
                <w:kern w:val="0"/>
                <w:sz w:val="18"/>
                <w:szCs w:val="18"/>
              </w:rPr>
            </w:pPr>
          </w:p>
        </w:tc>
        <w:tc>
          <w:tcPr>
            <w:tcW w:w="1705" w:type="pct"/>
            <w:vAlign w:val="center"/>
          </w:tcPr>
          <w:p w14:paraId="60A6AF56">
            <w:pPr>
              <w:wordWrap w:val="0"/>
              <w:snapToGrid w:val="0"/>
              <w:spacing w:line="400" w:lineRule="exact"/>
              <w:jc w:val="center"/>
              <w:rPr>
                <w:rFonts w:ascii="宋体" w:hAnsi="宋体" w:cs="宋体"/>
                <w:color w:val="auto"/>
                <w:kern w:val="0"/>
                <w:sz w:val="18"/>
                <w:szCs w:val="18"/>
              </w:rPr>
            </w:pPr>
          </w:p>
        </w:tc>
        <w:tc>
          <w:tcPr>
            <w:tcW w:w="870" w:type="pct"/>
            <w:vAlign w:val="center"/>
          </w:tcPr>
          <w:p w14:paraId="568D6E76">
            <w:pPr>
              <w:wordWrap w:val="0"/>
              <w:snapToGrid w:val="0"/>
              <w:spacing w:line="400" w:lineRule="exact"/>
              <w:jc w:val="center"/>
              <w:rPr>
                <w:rFonts w:ascii="宋体" w:hAnsi="宋体" w:cs="宋体"/>
                <w:color w:val="auto"/>
                <w:kern w:val="0"/>
                <w:sz w:val="18"/>
                <w:szCs w:val="18"/>
              </w:rPr>
            </w:pPr>
          </w:p>
        </w:tc>
      </w:tr>
      <w:tr w14:paraId="09686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38" w:type="pct"/>
            <w:vAlign w:val="center"/>
          </w:tcPr>
          <w:p w14:paraId="2149860C">
            <w:pPr>
              <w:widowControl/>
              <w:wordWrap w:val="0"/>
              <w:spacing w:line="276" w:lineRule="auto"/>
              <w:jc w:val="center"/>
              <w:rPr>
                <w:rFonts w:ascii="宋体" w:hAnsi="宋体" w:cs="宋体"/>
                <w:color w:val="auto"/>
                <w:kern w:val="0"/>
                <w:szCs w:val="21"/>
              </w:rPr>
            </w:pPr>
            <w:r>
              <w:rPr>
                <w:rFonts w:hint="eastAsia" w:ascii="宋体" w:hAnsi="宋体" w:cs="宋体"/>
                <w:color w:val="auto"/>
                <w:kern w:val="0"/>
                <w:sz w:val="18"/>
                <w:szCs w:val="18"/>
              </w:rPr>
              <w:t>……</w:t>
            </w:r>
          </w:p>
        </w:tc>
        <w:tc>
          <w:tcPr>
            <w:tcW w:w="1095" w:type="pct"/>
            <w:vAlign w:val="center"/>
          </w:tcPr>
          <w:p w14:paraId="7B7E22D2">
            <w:pPr>
              <w:wordWrap w:val="0"/>
              <w:snapToGrid w:val="0"/>
              <w:spacing w:line="400" w:lineRule="exact"/>
              <w:jc w:val="center"/>
              <w:rPr>
                <w:rFonts w:ascii="宋体" w:hAnsi="宋体" w:cs="宋体"/>
                <w:color w:val="auto"/>
                <w:kern w:val="0"/>
                <w:sz w:val="18"/>
                <w:szCs w:val="18"/>
              </w:rPr>
            </w:pPr>
          </w:p>
        </w:tc>
        <w:tc>
          <w:tcPr>
            <w:tcW w:w="990" w:type="pct"/>
            <w:vAlign w:val="center"/>
          </w:tcPr>
          <w:p w14:paraId="5FECC376">
            <w:pPr>
              <w:wordWrap w:val="0"/>
              <w:snapToGrid w:val="0"/>
              <w:spacing w:line="400" w:lineRule="exact"/>
              <w:jc w:val="center"/>
              <w:rPr>
                <w:rFonts w:ascii="宋体" w:hAnsi="宋体" w:cs="宋体"/>
                <w:color w:val="auto"/>
                <w:kern w:val="0"/>
                <w:sz w:val="18"/>
                <w:szCs w:val="18"/>
              </w:rPr>
            </w:pPr>
          </w:p>
        </w:tc>
        <w:tc>
          <w:tcPr>
            <w:tcW w:w="1705" w:type="pct"/>
            <w:vAlign w:val="center"/>
          </w:tcPr>
          <w:p w14:paraId="14B33197">
            <w:pPr>
              <w:wordWrap w:val="0"/>
              <w:snapToGrid w:val="0"/>
              <w:spacing w:line="400" w:lineRule="exact"/>
              <w:jc w:val="center"/>
              <w:rPr>
                <w:rFonts w:ascii="宋体" w:hAnsi="宋体" w:cs="宋体"/>
                <w:color w:val="auto"/>
                <w:kern w:val="0"/>
                <w:sz w:val="18"/>
                <w:szCs w:val="18"/>
              </w:rPr>
            </w:pPr>
          </w:p>
        </w:tc>
        <w:tc>
          <w:tcPr>
            <w:tcW w:w="870" w:type="pct"/>
            <w:vAlign w:val="center"/>
          </w:tcPr>
          <w:p w14:paraId="327EA15C">
            <w:pPr>
              <w:wordWrap w:val="0"/>
              <w:snapToGrid w:val="0"/>
              <w:spacing w:line="400" w:lineRule="exact"/>
              <w:jc w:val="center"/>
              <w:rPr>
                <w:rFonts w:ascii="宋体" w:hAnsi="宋体" w:cs="宋体"/>
                <w:color w:val="auto"/>
                <w:kern w:val="0"/>
                <w:sz w:val="18"/>
                <w:szCs w:val="18"/>
              </w:rPr>
            </w:pPr>
          </w:p>
        </w:tc>
      </w:tr>
    </w:tbl>
    <w:p w14:paraId="428BEC25">
      <w:pPr>
        <w:tabs>
          <w:tab w:val="left" w:pos="1680"/>
          <w:tab w:val="left" w:pos="4215"/>
          <w:tab w:val="left" w:pos="4305"/>
          <w:tab w:val="left" w:pos="7035"/>
        </w:tabs>
        <w:wordWrap w:val="0"/>
        <w:topLinePunct/>
        <w:adjustRightInd w:val="0"/>
        <w:snapToGrid w:val="0"/>
        <w:spacing w:line="460" w:lineRule="exact"/>
        <w:rPr>
          <w:rFonts w:hint="eastAsia" w:ascii="宋体" w:hAnsi="宋体" w:cs="宋体"/>
          <w:b/>
          <w:color w:val="auto"/>
          <w:kern w:val="0"/>
          <w:szCs w:val="21"/>
          <w:lang w:val="en-US" w:eastAsia="zh-CN"/>
        </w:rPr>
      </w:pPr>
      <w:r>
        <w:rPr>
          <w:rFonts w:hint="eastAsia" w:ascii="宋体" w:hAnsi="宋体" w:cs="宋体"/>
          <w:b/>
          <w:color w:val="auto"/>
          <w:kern w:val="0"/>
          <w:szCs w:val="21"/>
        </w:rPr>
        <w:t>注：</w:t>
      </w:r>
      <w:r>
        <w:rPr>
          <w:rFonts w:hint="eastAsia" w:ascii="宋体" w:hAnsi="宋体" w:cs="宋体"/>
          <w:b/>
          <w:color w:val="auto"/>
          <w:kern w:val="0"/>
          <w:szCs w:val="21"/>
          <w:lang w:val="en-US" w:eastAsia="zh-CN"/>
        </w:rPr>
        <w:t>若比选供应商未填写“项目概况及要求偏离表”视为比选供应商完全响应及满足“第四章 项目概况及要求”。</w:t>
      </w:r>
    </w:p>
    <w:p w14:paraId="6E6E684A">
      <w:pPr>
        <w:wordWrap w:val="0"/>
        <w:adjustRightInd w:val="0"/>
        <w:spacing w:line="400" w:lineRule="exact"/>
        <w:jc w:val="right"/>
        <w:rPr>
          <w:rFonts w:hint="eastAsia" w:ascii="宋体" w:hAnsi="宋体" w:cs="宋体"/>
          <w:b/>
          <w:bCs/>
          <w:color w:val="auto"/>
          <w:sz w:val="24"/>
        </w:rPr>
      </w:pPr>
    </w:p>
    <w:p w14:paraId="09C915E8">
      <w:pPr>
        <w:wordWrap w:val="0"/>
        <w:adjustRightInd w:val="0"/>
        <w:spacing w:line="400" w:lineRule="exact"/>
        <w:jc w:val="right"/>
        <w:rPr>
          <w:rFonts w:ascii="宋体" w:hAnsi="宋体" w:cs="宋体"/>
          <w:b/>
          <w:bCs/>
          <w:color w:val="auto"/>
          <w:sz w:val="21"/>
          <w:szCs w:val="21"/>
        </w:rPr>
      </w:pPr>
      <w:r>
        <w:rPr>
          <w:rFonts w:hint="eastAsia" w:ascii="宋体" w:hAnsi="宋体" w:cs="宋体"/>
          <w:b/>
          <w:bCs/>
          <w:color w:val="auto"/>
          <w:sz w:val="21"/>
          <w:szCs w:val="21"/>
        </w:rPr>
        <w:t>比选供应商：</w:t>
      </w:r>
      <w:r>
        <w:rPr>
          <w:rFonts w:hint="eastAsia" w:ascii="宋体" w:hAnsi="宋体" w:cs="宋体"/>
          <w:b/>
          <w:bCs/>
          <w:color w:val="auto"/>
          <w:sz w:val="21"/>
          <w:szCs w:val="21"/>
          <w:u w:val="single"/>
        </w:rPr>
        <w:t xml:space="preserve">                 </w:t>
      </w:r>
      <w:r>
        <w:rPr>
          <w:rFonts w:hint="eastAsia" w:ascii="宋体" w:hAnsi="宋体" w:cs="宋体"/>
          <w:b/>
          <w:bCs/>
          <w:color w:val="auto"/>
          <w:sz w:val="21"/>
          <w:szCs w:val="21"/>
        </w:rPr>
        <w:t>（盖单位公章）</w:t>
      </w:r>
    </w:p>
    <w:p w14:paraId="12824A77">
      <w:pPr>
        <w:pStyle w:val="43"/>
        <w:ind w:left="0" w:leftChars="0" w:firstLine="0" w:firstLineChars="0"/>
        <w:jc w:val="right"/>
        <w:rPr>
          <w:rFonts w:hint="eastAsia" w:ascii="宋体" w:hAnsi="宋体" w:cs="宋体"/>
          <w:b/>
          <w:bCs/>
          <w:color w:val="auto"/>
          <w:sz w:val="21"/>
          <w:szCs w:val="21"/>
        </w:rPr>
      </w:pPr>
      <w:r>
        <w:rPr>
          <w:rFonts w:hint="eastAsia" w:ascii="宋体" w:hAnsi="宋体" w:cs="宋体"/>
          <w:b/>
          <w:bCs/>
          <w:color w:val="auto"/>
          <w:sz w:val="21"/>
          <w:szCs w:val="21"/>
        </w:rPr>
        <w:t>日期：</w:t>
      </w:r>
      <w:r>
        <w:rPr>
          <w:rFonts w:hint="eastAsia" w:ascii="宋体" w:hAnsi="宋体" w:cs="宋体"/>
          <w:b/>
          <w:bCs/>
          <w:color w:val="auto"/>
          <w:sz w:val="21"/>
          <w:szCs w:val="21"/>
          <w:u w:val="single"/>
        </w:rPr>
        <w:t xml:space="preserve">        </w:t>
      </w:r>
      <w:r>
        <w:rPr>
          <w:rFonts w:hint="eastAsia" w:ascii="宋体" w:hAnsi="宋体" w:cs="宋体"/>
          <w:b/>
          <w:bCs/>
          <w:color w:val="auto"/>
          <w:sz w:val="21"/>
          <w:szCs w:val="21"/>
        </w:rPr>
        <w:t>年</w:t>
      </w:r>
      <w:r>
        <w:rPr>
          <w:rFonts w:hint="eastAsia" w:ascii="宋体" w:hAnsi="宋体" w:cs="宋体"/>
          <w:b/>
          <w:bCs/>
          <w:color w:val="auto"/>
          <w:sz w:val="21"/>
          <w:szCs w:val="21"/>
          <w:u w:val="single"/>
        </w:rPr>
        <w:t xml:space="preserve">      </w:t>
      </w:r>
      <w:r>
        <w:rPr>
          <w:rFonts w:hint="eastAsia" w:ascii="宋体" w:hAnsi="宋体" w:cs="宋体"/>
          <w:b/>
          <w:bCs/>
          <w:color w:val="auto"/>
          <w:sz w:val="21"/>
          <w:szCs w:val="21"/>
        </w:rPr>
        <w:t>月</w:t>
      </w:r>
      <w:r>
        <w:rPr>
          <w:rFonts w:hint="eastAsia" w:ascii="宋体" w:hAnsi="宋体" w:cs="宋体"/>
          <w:b/>
          <w:bCs/>
          <w:color w:val="auto"/>
          <w:sz w:val="21"/>
          <w:szCs w:val="21"/>
          <w:u w:val="single"/>
        </w:rPr>
        <w:t xml:space="preserve">      </w:t>
      </w:r>
      <w:r>
        <w:rPr>
          <w:rFonts w:hint="eastAsia" w:ascii="宋体" w:hAnsi="宋体" w:cs="宋体"/>
          <w:b/>
          <w:bCs/>
          <w:color w:val="auto"/>
          <w:sz w:val="21"/>
          <w:szCs w:val="21"/>
        </w:rPr>
        <w:t>日</w:t>
      </w:r>
    </w:p>
    <w:p w14:paraId="28758FDB">
      <w:pPr>
        <w:pStyle w:val="43"/>
        <w:ind w:left="0" w:leftChars="0" w:firstLine="0" w:firstLineChars="0"/>
        <w:jc w:val="both"/>
      </w:pPr>
      <w:r>
        <w:br w:type="page"/>
      </w:r>
    </w:p>
    <w:p w14:paraId="42B3DB6B">
      <w:pPr>
        <w:bidi w:val="0"/>
        <w:rPr>
          <w:rFonts w:hint="eastAsia"/>
        </w:rPr>
      </w:pPr>
      <w:bookmarkStart w:id="831" w:name="_Toc13560"/>
      <w:bookmarkStart w:id="832" w:name="_Toc18829"/>
      <w:bookmarkStart w:id="833" w:name="_Toc18436"/>
      <w:bookmarkStart w:id="834" w:name="_Toc3533"/>
      <w:bookmarkStart w:id="835" w:name="_Toc101780711"/>
    </w:p>
    <w:p w14:paraId="7DB6F19C">
      <w:pPr>
        <w:autoSpaceDE w:val="0"/>
        <w:autoSpaceDN w:val="0"/>
        <w:adjustRightInd w:val="0"/>
        <w:snapToGrid w:val="0"/>
        <w:spacing w:line="360" w:lineRule="auto"/>
        <w:outlineLvl w:val="1"/>
        <w:rPr>
          <w:rFonts w:hint="eastAsia" w:ascii="宋体" w:hAnsi="宋体"/>
          <w:b/>
          <w:bCs/>
          <w:spacing w:val="1"/>
          <w:w w:val="99"/>
          <w:kern w:val="0"/>
          <w:sz w:val="28"/>
          <w:szCs w:val="28"/>
        </w:rPr>
      </w:pPr>
      <w:r>
        <w:rPr>
          <w:rFonts w:hint="eastAsia" w:ascii="宋体" w:hAnsi="宋体"/>
          <w:b/>
          <w:bCs/>
          <w:spacing w:val="1"/>
          <w:w w:val="99"/>
          <w:kern w:val="0"/>
          <w:sz w:val="28"/>
          <w:szCs w:val="28"/>
        </w:rPr>
        <w:t>（6）比选供应商须知前附表规定的其他资料或比选供应商认为需要提供</w:t>
      </w:r>
      <w:r>
        <w:rPr>
          <w:rFonts w:hint="eastAsia" w:ascii="宋体" w:hAnsi="宋体"/>
          <w:b/>
          <w:bCs/>
          <w:spacing w:val="1"/>
          <w:w w:val="99"/>
          <w:kern w:val="0"/>
          <w:sz w:val="28"/>
          <w:szCs w:val="28"/>
          <w:lang w:val="en-US" w:eastAsia="zh-CN"/>
        </w:rPr>
        <w:t>相应承诺及</w:t>
      </w:r>
      <w:r>
        <w:rPr>
          <w:rFonts w:hint="eastAsia" w:ascii="宋体" w:hAnsi="宋体"/>
          <w:b/>
          <w:bCs/>
          <w:spacing w:val="1"/>
          <w:w w:val="99"/>
          <w:kern w:val="0"/>
          <w:sz w:val="28"/>
          <w:szCs w:val="28"/>
        </w:rPr>
        <w:t>其他资料</w:t>
      </w:r>
      <w:bookmarkEnd w:id="831"/>
      <w:bookmarkEnd w:id="832"/>
      <w:bookmarkEnd w:id="833"/>
      <w:bookmarkEnd w:id="834"/>
      <w:bookmarkEnd w:id="835"/>
    </w:p>
    <w:p w14:paraId="6E5FDE49">
      <w:pPr>
        <w:adjustRightInd w:val="0"/>
        <w:snapToGrid w:val="0"/>
        <w:spacing w:line="500" w:lineRule="exact"/>
        <w:jc w:val="center"/>
        <w:rPr>
          <w:rFonts w:ascii="宋体" w:hAnsi="宋体"/>
          <w:b/>
          <w:bCs/>
          <w:spacing w:val="1"/>
          <w:w w:val="99"/>
          <w:kern w:val="0"/>
          <w:sz w:val="28"/>
          <w:szCs w:val="28"/>
        </w:rPr>
      </w:pPr>
      <w:r>
        <w:rPr>
          <w:rFonts w:hint="eastAsia" w:ascii="宋体" w:hAnsi="宋体"/>
          <w:b/>
          <w:bCs/>
          <w:spacing w:val="1"/>
          <w:w w:val="99"/>
          <w:kern w:val="0"/>
          <w:sz w:val="28"/>
          <w:szCs w:val="28"/>
        </w:rPr>
        <w:t>（格式自拟）</w:t>
      </w:r>
    </w:p>
    <w:p w14:paraId="6EDF9705">
      <w:pPr>
        <w:pStyle w:val="43"/>
      </w:pPr>
    </w:p>
    <w:sectPr>
      <w:footerReference r:id="rId39" w:type="default"/>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89055E6-E751-4DC1-A544-7640C9299630}"/>
  </w:font>
  <w:font w:name="黑体">
    <w:panose1 w:val="02010609060101010101"/>
    <w:charset w:val="86"/>
    <w:family w:val="auto"/>
    <w:pitch w:val="default"/>
    <w:sig w:usb0="800002BF" w:usb1="38CF7CFA" w:usb2="00000016" w:usb3="00000000" w:csb0="00040001" w:csb1="00000000"/>
    <w:embedRegular r:id="rId2" w:fontKey="{7C611DC9-89B2-45A4-8993-E0B50F6222A5}"/>
  </w:font>
  <w:font w:name="Courier New">
    <w:panose1 w:val="02070309020205020404"/>
    <w:charset w:val="01"/>
    <w:family w:val="modern"/>
    <w:pitch w:val="default"/>
    <w:sig w:usb0="E0002EFF" w:usb1="C0007843" w:usb2="00000009" w:usb3="00000000" w:csb0="400001FF" w:csb1="FFFF0000"/>
    <w:embedRegular r:id="rId3" w:fontKey="{BB0D6E84-B64C-4759-AFE9-BCD45D1C63A5}"/>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Univers">
    <w:altName w:val="Segoe Print"/>
    <w:panose1 w:val="00000000000000000000"/>
    <w:charset w:val="00"/>
    <w:family w:val="swiss"/>
    <w:pitch w:val="default"/>
    <w:sig w:usb0="00000000" w:usb1="00000000" w:usb2="00000000" w:usb3="00000000" w:csb0="0000000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Letter Gothic">
    <w:altName w:val="Segoe Print"/>
    <w:panose1 w:val="00000000000000000000"/>
    <w:charset w:val="00"/>
    <w:family w:val="modern"/>
    <w:pitch w:val="default"/>
    <w:sig w:usb0="00000000" w:usb1="00000000" w:usb2="00000000" w:usb3="00000000" w:csb0="00000093" w:csb1="00000000"/>
  </w:font>
  <w:font w:name="Arial Unicode MS">
    <w:panose1 w:val="020B0604020202020204"/>
    <w:charset w:val="86"/>
    <w:family w:val="swiss"/>
    <w:pitch w:val="default"/>
    <w:sig w:usb0="FFFFFFFF" w:usb1="E9FFFFFF" w:usb2="0000003F" w:usb3="00000000" w:csb0="603F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embedRegular r:id="rId4" w:fontKey="{15D9F177-896C-4049-91B7-94111BDF4089}"/>
  </w:font>
  <w:font w:name="仿宋">
    <w:panose1 w:val="02010609060101010101"/>
    <w:charset w:val="86"/>
    <w:family w:val="modern"/>
    <w:pitch w:val="default"/>
    <w:sig w:usb0="800002BF" w:usb1="38CF7CFA" w:usb2="00000016" w:usb3="00000000" w:csb0="00040001" w:csb1="00000000"/>
    <w:embedRegular r:id="rId5" w:fontKey="{EDCAB192-2098-4166-A585-3977DEC9ECFF}"/>
  </w:font>
  <w:font w:name="Arial Bold">
    <w:altName w:val="Arial"/>
    <w:panose1 w:val="020B0704020202020204"/>
    <w:charset w:val="00"/>
    <w:family w:val="roman"/>
    <w:pitch w:val="default"/>
    <w:sig w:usb0="00000000" w:usb1="00000000" w:usb2="00000000" w:usb3="00000000" w:csb0="00000001" w:csb1="00000000"/>
  </w:font>
  <w:font w:name="ˎ̥">
    <w:altName w:val="Times New Roman"/>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Futura Bk BT">
    <w:altName w:val="Arial"/>
    <w:panose1 w:val="00000000000000000000"/>
    <w:charset w:val="00"/>
    <w:family w:val="swiss"/>
    <w:pitch w:val="default"/>
    <w:sig w:usb0="00000000" w:usb1="00000000" w:usb2="00000000" w:usb3="00000000" w:csb0="0000001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Univers (WN)">
    <w:altName w:val="Arial"/>
    <w:panose1 w:val="00000000000000000000"/>
    <w:charset w:val="00"/>
    <w:family w:val="swiss"/>
    <w:pitch w:val="default"/>
    <w:sig w:usb0="00000000" w:usb1="00000000" w:usb2="00000000" w:usb3="00000000" w:csb0="00000001" w:csb1="00000000"/>
  </w:font>
  <w:font w:name="Palatino">
    <w:altName w:val="Georgia"/>
    <w:panose1 w:val="00000000000000000000"/>
    <w:charset w:val="00"/>
    <w:family w:val="roman"/>
    <w:pitch w:val="default"/>
    <w:sig w:usb0="00000000" w:usb1="00000000" w:usb2="00000000" w:usb3="00000000" w:csb0="00000093" w:csb1="00000000"/>
  </w:font>
  <w:font w:name="Georgia">
    <w:panose1 w:val="02040502050405020303"/>
    <w:charset w:val="00"/>
    <w:family w:val="auto"/>
    <w:pitch w:val="default"/>
    <w:sig w:usb0="00000287" w:usb1="00000000" w:usb2="00000000" w:usb3="00000000" w:csb0="2000009F" w:csb1="00000000"/>
  </w:font>
  <w:font w:name="新宋体">
    <w:panose1 w:val="02010609030101010101"/>
    <w:charset w:val="86"/>
    <w:family w:val="modern"/>
    <w:pitch w:val="default"/>
    <w:sig w:usb0="00000203" w:usb1="288F0000" w:usb2="00000006" w:usb3="00000000" w:csb0="00040001" w:csb1="00000000"/>
    <w:embedRegular r:id="rId6" w:fontKey="{5A8671DA-AC32-4CBE-B0F7-A26ADAA9433B}"/>
  </w:font>
  <w:font w:name="Arial Narrow">
    <w:panose1 w:val="020B0606020202030204"/>
    <w:charset w:val="00"/>
    <w:family w:val="swiss"/>
    <w:pitch w:val="default"/>
    <w:sig w:usb0="00000287" w:usb1="00000800" w:usb2="00000000" w:usb3="00000000" w:csb0="2000009F" w:csb1="DFD70000"/>
  </w:font>
  <w:font w:name="Century Gothic">
    <w:panose1 w:val="020B0502020202020204"/>
    <w:charset w:val="00"/>
    <w:family w:val="swiss"/>
    <w:pitch w:val="default"/>
    <w:sig w:usb0="00000287" w:usb1="00000000" w:usb2="00000000" w:usb3="00000000" w:csb0="2000009F" w:csb1="DFD70000"/>
  </w:font>
  <w:font w:name="华文中宋">
    <w:panose1 w:val="02010600040101010101"/>
    <w:charset w:val="86"/>
    <w:family w:val="auto"/>
    <w:pitch w:val="default"/>
    <w:sig w:usb0="00000287" w:usb1="080F0000" w:usb2="00000000" w:usb3="00000000" w:csb0="0004009F" w:csb1="DFD7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华文仿宋">
    <w:panose1 w:val="02010600040101010101"/>
    <w:charset w:val="86"/>
    <w:family w:val="auto"/>
    <w:pitch w:val="default"/>
    <w:sig w:usb0="00000287" w:usb1="080F0000" w:usb2="00000000" w:usb3="00000000" w:csb0="0004009F" w:csb1="DFD70000"/>
  </w:font>
  <w:font w:name="Bodoni MT">
    <w:panose1 w:val="02070603080606020203"/>
    <w:charset w:val="00"/>
    <w:family w:val="roman"/>
    <w:pitch w:val="default"/>
    <w:sig w:usb0="00000003" w:usb1="00000000" w:usb2="00000000" w:usb3="00000000" w:csb0="20000001" w:csb1="00000000"/>
  </w:font>
  <w:font w:name="DIN-Regular">
    <w:altName w:val="Arial"/>
    <w:panose1 w:val="00000000000000000000"/>
    <w:charset w:val="00"/>
    <w:family w:val="swiss"/>
    <w:pitch w:val="default"/>
    <w:sig w:usb0="00000000" w:usb1="00000000" w:usb2="00000000" w:usb3="00000000" w:csb0="00000001" w:csb1="00000000"/>
  </w:font>
  <w:font w:name="MingLiU">
    <w:altName w:val="PMingLiU-ExtB"/>
    <w:panose1 w:val="02010609000101010101"/>
    <w:charset w:val="88"/>
    <w:family w:val="modern"/>
    <w:pitch w:val="default"/>
    <w:sig w:usb0="00000000" w:usb1="00000000" w:usb2="00000016" w:usb3="00000000" w:csb0="00100001" w:csb1="00000000"/>
    <w:embedRegular r:id="rId7" w:fontKey="{31852AC0-9D05-44F1-8A77-5377A64ABDDF}"/>
  </w:font>
  <w:font w:name="PMingLiU-ExtB">
    <w:panose1 w:val="02020500000000000000"/>
    <w:charset w:val="88"/>
    <w:family w:val="auto"/>
    <w:pitch w:val="default"/>
    <w:sig w:usb0="8000002F" w:usb1="02000008" w:usb2="00000000" w:usb3="00000000" w:csb0="00100001" w:csb1="00000000"/>
  </w:font>
  <w:font w:name="Arial">
    <w:panose1 w:val="020B0604020202020204"/>
    <w:charset w:val="00"/>
    <w:family w:val="auto"/>
    <w:pitch w:val="default"/>
    <w:sig w:usb0="E0002EFF" w:usb1="C000785B" w:usb2="00000009" w:usb3="00000000" w:csb0="400001FF" w:csb1="FFFF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EDBFC">
    <w:pPr>
      <w:pStyle w:val="47"/>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FF423">
    <w:pPr>
      <w:pStyle w:val="47"/>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CE22EA">
                          <w:pPr>
                            <w:pStyle w:val="47"/>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ehK3sMBAACP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2DkjhuceLnnz/Ovx7PD98J&#10;+lCgPkCNeXcBM9Pw3g+4NrMf0Jl5Dyra/EVGBOOIdbrIK4dERH60Wq5WFYYExuYL4rOn5yFC+iC9&#10;JdloaMT5FVn58ROkMXVOydWcv9XGlBka95cDMbOH5d7HHrOVht0wEdr59oR8ehx9Qx1uOiXmo0Nl&#10;sb80G3E2dpORa0B4d0hYuPSTUUeoqRjOqTCadiovwp/3kvX0H21+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CF6ErewwEAAI8DAAAOAAAAAAAAAAEAIAAAAB4BAABkcnMvZTJvRG9jLnhtbFBL&#10;BQYAAAAABgAGAFkBAABTBQAAAAA=&#10;">
              <v:fill on="f" focussize="0,0"/>
              <v:stroke on="f"/>
              <v:imagedata o:title=""/>
              <o:lock v:ext="edit" aspectratio="f"/>
              <v:textbox inset="0mm,0mm,0mm,0mm" style="mso-fit-shape-to-text:t;">
                <w:txbxContent>
                  <w:p w14:paraId="0BCE22EA">
                    <w:pPr>
                      <w:pStyle w:val="4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505D2">
    <w:pPr>
      <w:pStyle w:val="47"/>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880DE4">
                          <w:pPr>
                            <w:pStyle w:val="47"/>
                          </w:pPr>
                          <w:r>
                            <w:fldChar w:fldCharType="begin"/>
                          </w:r>
                          <w:r>
                            <w:instrText xml:space="preserve"> PAGE  \* MERGEFORMAT </w:instrText>
                          </w:r>
                          <w:r>
                            <w:fldChar w:fldCharType="separate"/>
                          </w:r>
                          <w:r>
                            <w:t>3</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ggFAMMBAACPAwAADgAAAGRycy9lMm9Eb2MueG1srVPNjtMwEL4j8Q6W&#10;79TZC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7TYnjFid+/vnj/OvP+fd3&#10;gj4UqA9QY959wMw0vPMDrs3sB3Rm3oOKNn+REcE4ynu6yCuHRER+tFquVhWGBMbmC+Kzh+chQnov&#10;vSXZaGjE+RVZ+fEjpDF1TsnVnL/TxpQZGvePAzGzh+Xexx6zlYbdMBHa+faEfHocfUMdbjol5oND&#10;ZfOWzEacjd1k5BoQbg8JC5d+MuoINRXDORVG007lRXh8L1kP/9Hm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AeCAUAwwEAAI8DAAAOAAAAAAAAAAEAIAAAAB4BAABkcnMvZTJvRG9jLnhtbFBL&#10;BQYAAAAABgAGAFkBAABTBQAAAAA=&#10;">
              <v:fill on="f" focussize="0,0"/>
              <v:stroke on="f"/>
              <v:imagedata o:title=""/>
              <o:lock v:ext="edit" aspectratio="f"/>
              <v:textbox inset="0mm,0mm,0mm,0mm" style="mso-fit-shape-to-text:t;">
                <w:txbxContent>
                  <w:p w14:paraId="09880DE4">
                    <w:pPr>
                      <w:pStyle w:val="4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0CCB3">
    <w:pPr>
      <w:pStyle w:val="47"/>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6F7B21">
                          <w:pPr>
                            <w:pStyle w:val="47"/>
                          </w:pPr>
                          <w:r>
                            <w:fldChar w:fldCharType="begin"/>
                          </w:r>
                          <w:r>
                            <w:instrText xml:space="preserve"> PAGE  \* MERGEFORMAT </w:instrText>
                          </w:r>
                          <w:r>
                            <w:fldChar w:fldCharType="separate"/>
                          </w:r>
                          <w:r>
                            <w:t>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SZwfsMBAACP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dvKXHc4sTPP3+cf/05//5O&#10;0IcC9QFqzLsNmJmG937AtZn9gM7Me1DR5i8yIhhHeU8XeeWQiMiPVsvVqsKQwNh8QXx2/zxESB+k&#10;tyQbDY04vyIrP36CNKbOKbma8zfamDJD4/5zIGb2sNz72GO20rAbJkI7356QT4+jb6jDTafEfHSo&#10;bN6S2YizsZuMXAPCu0PCwqWfjDpCTcVwToXRtFN5Ef69l6z7/2jz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DFJnB+wwEAAI8DAAAOAAAAAAAAAAEAIAAAAB4BAABkcnMvZTJvRG9jLnhtbFBL&#10;BQYAAAAABgAGAFkBAABTBQAAAAA=&#10;">
              <v:fill on="f" focussize="0,0"/>
              <v:stroke on="f"/>
              <v:imagedata o:title=""/>
              <o:lock v:ext="edit" aspectratio="f"/>
              <v:textbox inset="0mm,0mm,0mm,0mm" style="mso-fit-shape-to-text:t;">
                <w:txbxContent>
                  <w:p w14:paraId="136F7B21">
                    <w:pPr>
                      <w:pStyle w:val="47"/>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6C9F4">
    <w:pPr>
      <w:pStyle w:val="47"/>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3E2C04">
                          <w:pPr>
                            <w:pStyle w:val="47"/>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3uagsMBAACPAwAADgAAAGRycy9lMm9Eb2MueG1srVPNjtMwEL4j8Q6W&#10;79TZC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dvKHHc4sTPP3+cf/05//5O&#10;0IcC9QFqzLsNmJmG937AtZn9gM7Me1DR5i8yIhhHeU8XeeWQiMiPVsvVqsKQwNh8QXx2/zxESB+k&#10;tyQbDY04vyIrP36CNKbOKbma8zfamDJD4/5zIGb2sNz72GO20rAbJkI7356QT4+jb6jDTafEfHSo&#10;bN6S2YizsZuMXAPCu0PCwqWfjDpCTcVwToXRtFN5Ef69l6z7/2jz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Bze5qCwwEAAI8DAAAOAAAAAAAAAAEAIAAAAB4BAABkcnMvZTJvRG9jLnhtbFBL&#10;BQYAAAAABgAGAFkBAABTBQAAAAA=&#10;">
              <v:fill on="f" focussize="0,0"/>
              <v:stroke on="f"/>
              <v:imagedata o:title=""/>
              <o:lock v:ext="edit" aspectratio="f"/>
              <v:textbox inset="0mm,0mm,0mm,0mm" style="mso-fit-shape-to-text:t;">
                <w:txbxContent>
                  <w:p w14:paraId="143E2C04">
                    <w:pPr>
                      <w:pStyle w:val="4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5B0AE">
    <w:pPr>
      <w:pStyle w:val="4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86C9B4">
                          <w:pPr>
                            <w:pStyle w:val="47"/>
                          </w:pPr>
                          <w:r>
                            <w:fldChar w:fldCharType="begin"/>
                          </w:r>
                          <w:r>
                            <w:instrText xml:space="preserve"> PAGE  \* MERGEFORMAT </w:instrText>
                          </w:r>
                          <w:r>
                            <w:fldChar w:fldCharType="separate"/>
                          </w:r>
                          <w:r>
                            <w:t>3</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Lx05cMBAACPAwAADgAAAGRycy9lMm9Eb2MueG1srVPNjtMwEL4j8Q6W&#10;79TZC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dvKXHc4sTPP3+cf/05//5O&#10;0IcC9QFqzLsNmJmG937AtZn9gM7Me1DR5i8yIhhHeU8XeeWQiMiPVsvVqsKQwNh8QXx2/zxESB+k&#10;tyQbDY04vyIrP36CNKbOKbma8zfamDJD4/5zIGb2sNz72GO20rAbJkI7356QT4+jb6jDTafEfHSo&#10;bN6S2YizsZuMXAPCu0PCwqWfjDpCTcVwToXRtFN5Ef69l6z7/2jz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AEvHTlwwEAAI8DAAAOAAAAAAAAAAEAIAAAAB4BAABkcnMvZTJvRG9jLnhtbFBL&#10;BQYAAAAABgAGAFkBAABTBQAAAAA=&#10;">
              <v:fill on="f" focussize="0,0"/>
              <v:stroke on="f"/>
              <v:imagedata o:title=""/>
              <o:lock v:ext="edit" aspectratio="f"/>
              <v:textbox inset="0mm,0mm,0mm,0mm" style="mso-fit-shape-to-text:t;">
                <w:txbxContent>
                  <w:p w14:paraId="2C86C9B4">
                    <w:pPr>
                      <w:pStyle w:val="4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0DB45">
    <w:pPr>
      <w:pStyle w:val="47"/>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76353F">
                          <w:pPr>
                            <w:pStyle w:val="47"/>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5IBm8MBAACP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2Dc3fc4sTPP3+cfz2eH74T&#10;9KFAfYAa8+4CZqbhvR9wbWY/oDPzHlS0+YuMCMZR3tNFXjkkIvKj1XK1qjAkMDZfEJ89PQ8R0gfp&#10;LclGQyPOr8jKj58gjalzSq7m/K02pszQuL8ciJk9LPc+9pitNOyGidDOtyfk0+PoG+pw0ykxHx0q&#10;m7dkNuJs7CYj14Dw7pCwcOkno45QUzGcU2E07VRehD/vJevpP9r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DfkgGbwwEAAI8DAAAOAAAAAAAAAAEAIAAAAB4BAABkcnMvZTJvRG9jLnhtbFBL&#10;BQYAAAAABgAGAFkBAABTBQAAAAA=&#10;">
              <v:fill on="f" focussize="0,0"/>
              <v:stroke on="f"/>
              <v:imagedata o:title=""/>
              <o:lock v:ext="edit" aspectratio="f"/>
              <v:textbox inset="0mm,0mm,0mm,0mm" style="mso-fit-shape-to-text:t;">
                <w:txbxContent>
                  <w:p w14:paraId="6376353F">
                    <w:pPr>
                      <w:pStyle w:val="4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984D4">
    <w:pPr>
      <w:pStyle w:val="4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F0CA51">
                          <w:pPr>
                            <w:pStyle w:val="47"/>
                          </w:pPr>
                          <w:r>
                            <w:fldChar w:fldCharType="begin"/>
                          </w:r>
                          <w:r>
                            <w:instrText xml:space="preserve"> PAGE  \* MERGEFORMAT </w:instrText>
                          </w:r>
                          <w:r>
                            <w:fldChar w:fldCharType="separate"/>
                          </w:r>
                          <w:r>
                            <w:t>3</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LhAscIBAACP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slJY5bnPjl+7fLj1+Xn18J&#10;+lCgPkCNeQ8BM9Nw5wdcm9kP6My8BxVt/iIjgnGU93yVVw6JiPxovVqvKwwJjM0XxGePz0OE9FZ6&#10;S7LR0IjzK7Ly03tIY+qckqs5f6+NKTM07i8HYmYPy72PPWYrDfthIrT37Rn59Dj6hjrcdErMO4fK&#10;5i2ZjTgb+8nINSDcHhMWLv1k1BFqKoZzKoymncqL8Oe9ZD3+R9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Cy4QLHCAQAAjwMAAA4AAAAAAAAAAQAgAAAAHgEAAGRycy9lMm9Eb2MueG1sUEsF&#10;BgAAAAAGAAYAWQEAAFIFAAAAAA==&#10;">
              <v:fill on="f" focussize="0,0"/>
              <v:stroke on="f"/>
              <v:imagedata o:title=""/>
              <o:lock v:ext="edit" aspectratio="f"/>
              <v:textbox inset="0mm,0mm,0mm,0mm" style="mso-fit-shape-to-text:t;">
                <w:txbxContent>
                  <w:p w14:paraId="65F0CA51">
                    <w:pPr>
                      <w:pStyle w:val="4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D821C">
    <w:pPr>
      <w:pStyle w:val="47"/>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F5A2A8">
                          <w:pPr>
                            <w:pStyle w:val="47"/>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5Y1z8MBAACP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2DkjhuceLnnz/Ovx7PD98J&#10;+lCgPkCNeXcBM9Pw3g+4NrMf0Jl5Dyra/EVGBOOIdbrIK4dERH60Wq5WFYYExuYL4rOn5yFC+iC9&#10;JdloaMT5FVn58ROkMXVOydWcv9XGlBka95cDMbOH5d7HHrOVht0wEdr59oR8ehx9Qx1uOiXmo0Nl&#10;sb80G3E2dpORa0B4d0hYuPSTUUeoqRjOqTCadiovwp/3kvX0H21+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D3ljXPwwEAAI8DAAAOAAAAAAAAAAEAIAAAAB4BAABkcnMvZTJvRG9jLnhtbFBL&#10;BQYAAAAABgAGAFkBAABTBQAAAAA=&#10;">
              <v:fill on="f" focussize="0,0"/>
              <v:stroke on="f"/>
              <v:imagedata o:title=""/>
              <o:lock v:ext="edit" aspectratio="f"/>
              <v:textbox inset="0mm,0mm,0mm,0mm" style="mso-fit-shape-to-text:t;">
                <w:txbxContent>
                  <w:p w14:paraId="50F5A2A8">
                    <w:pPr>
                      <w:pStyle w:val="4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D21E5">
    <w:pPr>
      <w:pStyle w:val="47"/>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383540" cy="308610"/>
              <wp:effectExtent l="0" t="0" r="16510" b="15240"/>
              <wp:wrapNone/>
              <wp:docPr id="1" name="文本框 4"/>
              <wp:cNvGraphicFramePr/>
              <a:graphic xmlns:a="http://schemas.openxmlformats.org/drawingml/2006/main">
                <a:graphicData uri="http://schemas.microsoft.com/office/word/2010/wordprocessingShape">
                  <wps:wsp>
                    <wps:cNvSpPr txBox="1"/>
                    <wps:spPr>
                      <a:xfrm>
                        <a:off x="0" y="0"/>
                        <a:ext cx="383540" cy="308610"/>
                      </a:xfrm>
                      <a:prstGeom prst="rect">
                        <a:avLst/>
                      </a:prstGeom>
                      <a:noFill/>
                      <a:ln>
                        <a:noFill/>
                      </a:ln>
                    </wps:spPr>
                    <wps:txbx>
                      <w:txbxContent>
                        <w:p w14:paraId="322254C0">
                          <w:pPr>
                            <w:pStyle w:val="47"/>
                          </w:pPr>
                          <w:r>
                            <w:fldChar w:fldCharType="begin"/>
                          </w:r>
                          <w:r>
                            <w:instrText xml:space="preserve"> PAGE  \* MERGEFORMAT </w:instrText>
                          </w:r>
                          <w:r>
                            <w:fldChar w:fldCharType="separate"/>
                          </w:r>
                          <w:r>
                            <w:t>33</w:t>
                          </w:r>
                          <w:r>
                            <w:fldChar w:fldCharType="end"/>
                          </w:r>
                        </w:p>
                      </w:txbxContent>
                    </wps:txbx>
                    <wps:bodyPr lIns="0" tIns="0" rIns="0" bIns="0" upright="1"/>
                  </wps:wsp>
                </a:graphicData>
              </a:graphic>
            </wp:anchor>
          </w:drawing>
        </mc:Choice>
        <mc:Fallback>
          <w:pict>
            <v:shape id="文本框 4" o:spid="_x0000_s1026" o:spt="202" type="#_x0000_t202" style="position:absolute;left:0pt;margin-top:0pt;height:24.3pt;width:30.2pt;mso-position-horizontal:center;mso-position-horizontal-relative:margin;z-index:251663360;mso-width-relative:page;mso-height-relative:page;" filled="f" stroked="f" coordsize="21600,21600" o:gfxdata="UEsDBAoAAAAAAIdO4kAAAAAAAAAAAAAAAAAEAAAAZHJzL1BLAwQUAAAACACHTuJAlE3M1NQAAAAD&#10;AQAADwAAAGRycy9kb3ducmV2LnhtbE2PzU7DMBCE70i8g7VI3KhdVEUlxKlQBSck1DQcODrxNrEa&#10;r9PY/eHt2XKBy0qjGc18W6wufhAnnKILpGE+UyCQ2mAddRo+67eHJYiYDFkzBEIN3xhhVd7eFCa3&#10;4UwVnrapE1xCMTca+pTGXMrY9uhNnIURib1dmLxJLKdO2smcudwP8lGpTHrjiBd6M+K6x3a/PXoN&#10;L19UvbrDR7OpdpWr6ydF79le6/u7uXoGkfCS/sJwxWd0KJmpCUeyUQwa+JH0e9nL1AJEo2GxzECW&#10;hfzPXv4AUEsDBBQAAAAIAIdO4kDxJPJiugEAAHEDAAAOAAAAZHJzL2Uyb0RvYy54bWytU0Fu2zAQ&#10;vBfoHwjea8pxEhiC5QCBkSBAkRZI+wCaIi0CJJcgaUv+QPuDnnrpve/yO7qkZadNLznkQq12V7Mz&#10;s9TiZrCG7GSIGlxDp5OKEukEtNptGvr1y92HOSUxcddyA042dC8jvVm+f7fofS0voAPTykAQxMW6&#10;9w3tUvI1Y1F00vI4AS8dFhUEyxO+hg1rA+8R3Rp2UVXXrIfQ+gBCxojZ1bFIR8TwGkBQSgu5ArG1&#10;0qUjapCGJ5QUO+0jXRa2SkmRPikVZSKmoag0lROHYLzOJ1sueL0J3HdajBT4ayi80GS5djj0DLXi&#10;iZNt0P9BWS0CRFBpIsCyo5DiCKqYVi+8eeq4l0ULWh392fT4drDicfc5EN3iTaDEcYsLP/z4fvj5&#10;+/DrG7nM9vQ+1tj15LEvDbcw5NYxHzGZVQ8q2PxEPQTraO7+bK4cEhGYnM1nV5dYEViaVfPraTGf&#10;PX/sQ0z3EizJQUMD7q5YyncfY8KB2HpqybMc3Gljyv6M+yeBjTnDMvMjwxylYT2MtNfQ7lGNeXDo&#10;ZL4VpyCcgvUp2PqgNx3SKZoLJG6ikBlvTV713+9l8POfsvw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E3M1NQAAAADAQAADwAAAAAAAAABACAAAAAiAAAAZHJzL2Rvd25yZXYueG1sUEsBAhQAFAAA&#10;AAgAh07iQPEk8mK6AQAAcQMAAA4AAAAAAAAAAQAgAAAAIwEAAGRycy9lMm9Eb2MueG1sUEsFBgAA&#10;AAAGAAYAWQEAAE8FAAAAAA==&#10;">
              <v:fill on="f" focussize="0,0"/>
              <v:stroke on="f"/>
              <v:imagedata o:title=""/>
              <o:lock v:ext="edit" aspectratio="f"/>
              <v:textbox inset="0mm,0mm,0mm,0mm">
                <w:txbxContent>
                  <w:p w14:paraId="322254C0">
                    <w:pPr>
                      <w:pStyle w:val="47"/>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26561">
    <w:pPr>
      <w:pStyle w:val="47"/>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121DD1">
                          <w:pPr>
                            <w:pStyle w:val="47"/>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YFr58oBAACbAwAADgAAAGRycy9lMm9Eb2MueG1srVPNjtMwEL4j8Q6W&#10;79TZg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DevKXHc4sTPP3+cf/05//5O&#10;0IcC9QFqzLsNmJmG937AtZn9gM7Me1DR5i8yIhhHeU8XeeWQiMiPVsvVqsKQwNh8QXx2/zxESB+k&#10;tyQbDY04vyIrP36CNKbOKbma8zfamDJD4/5zIGb2sNz72GO20rAbJkI7356QT4+jb6jDTafEfHSo&#10;bN6S2YizsZuNQ4h635U1yvUgvDskbKL0liuMsFNhnFlhN+1XXop/7yXr/p/a/A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2YFr58oBAACbAwAADgAAAAAAAAABACAAAAAeAQAAZHJzL2Uyb0Rv&#10;Yy54bWxQSwUGAAAAAAYABgBZAQAAWgUAAAAA&#10;">
              <v:fill on="f" focussize="0,0"/>
              <v:stroke on="f"/>
              <v:imagedata o:title=""/>
              <o:lock v:ext="edit" aspectratio="f"/>
              <v:textbox inset="0mm,0mm,0mm,0mm" style="mso-fit-shape-to-text:t;">
                <w:txbxContent>
                  <w:p w14:paraId="7F121DD1">
                    <w:pPr>
                      <w:pStyle w:val="4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8AB38">
    <w:pPr>
      <w:pStyle w:val="47"/>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71353A">
                          <w:pPr>
                            <w:pStyle w:val="47"/>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qGiv8oBAACb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9TYnjFid+/vnj/OvP+fd3&#10;gj4UqA9QY959wMw0vPMDrs3sB3Rm3oOKNn+REcE4ynu6yCuHRER+tFquVhWGBMbmC+Kzh+chQnov&#10;vSXZaGjE+RVZ+fEjpDF1TsnVnL/TxpQZGvePAzGzh+Xexx6zlYbdMBHa+faEfHocfUMdbjol5oND&#10;ZfOWzEacjd1sHELU+66sUa4H4faQsInSW64wwk6FcWaF3bRfeSke30vWwz+1+Q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QqGiv8oBAACbAwAADgAAAAAAAAABACAAAAAeAQAAZHJzL2Uyb0Rv&#10;Yy54bWxQSwUGAAAAAAYABgBZAQAAWgUAAAAA&#10;">
              <v:fill on="f" focussize="0,0"/>
              <v:stroke on="f"/>
              <v:imagedata o:title=""/>
              <o:lock v:ext="edit" aspectratio="f"/>
              <v:textbox inset="0mm,0mm,0mm,0mm" style="mso-fit-shape-to-text:t;">
                <w:txbxContent>
                  <w:p w14:paraId="4371353A">
                    <w:pPr>
                      <w:pStyle w:val="4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ADCC3">
    <w:pPr>
      <w:pStyle w:val="47"/>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C2E115">
                          <w:pPr>
                            <w:pStyle w:val="4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eKuNsoBAACb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2zpMRxixM///xx/vV4fvhO&#10;0IcC9QFqzLsLmJmG937AtZn9gM7Me1DR5i8yIhhHeU8XeeWQiMiPVsvVqsKQwNh8QXz29DxESB+k&#10;tyQbDY04vyIrP36CNKbOKbma87famDJD4/5yIGb2sNz72GO20rAbJkI7356QT4+jb6jDTafEfHSo&#10;bN6S2YizsZuNQ4h635U1yvUgvDskbKL0liuMsFNhnFlhN+1XXoo/7yXr6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ceKuNsoBAACbAwAADgAAAAAAAAABACAAAAAeAQAAZHJzL2Uyb0Rv&#10;Yy54bWxQSwUGAAAAAAYABgBZAQAAWgUAAAAA&#10;">
              <v:fill on="f" focussize="0,0"/>
              <v:stroke on="f"/>
              <v:imagedata o:title=""/>
              <o:lock v:ext="edit" aspectratio="f"/>
              <v:textbox inset="0mm,0mm,0mm,0mm" style="mso-fit-shape-to-text:t;">
                <w:txbxContent>
                  <w:p w14:paraId="49C2E115">
                    <w:pPr>
                      <w:pStyle w:val="4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448FB">
    <w:pPr>
      <w:pStyle w:val="47"/>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BA1F05">
                          <w:pPr>
                            <w:pStyle w:val="47"/>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G+3P8oBAACb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DevKXHc4sTPP3+cf/05//5O&#10;0IcC9QFqzLsNmJmG937AtZn9gM7Me1DR5i8yIhhHeU8XeeWQiMiPVsvVqsKQwNh8QXx2/zxESB+k&#10;tyQbDY04vyIrP36CNKbOKbma8zfamDJD4/5zIGb2sNz72GO20rAbJkI7356QT4+jb6jDTafEfHSo&#10;bN6S2YizsZuNQ4h635U1yvUgvDskbKL0liuMsFNhnFlhN+1XXop/7yXr/p/a/A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YG+3P8oBAACbAwAADgAAAAAAAAABACAAAAAeAQAAZHJzL2Uyb0Rv&#10;Yy54bWxQSwUGAAAAAAYABgBZAQAAWgUAAAAA&#10;">
              <v:fill on="f" focussize="0,0"/>
              <v:stroke on="f"/>
              <v:imagedata o:title=""/>
              <o:lock v:ext="edit" aspectratio="f"/>
              <v:textbox inset="0mm,0mm,0mm,0mm" style="mso-fit-shape-to-text:t;">
                <w:txbxContent>
                  <w:p w14:paraId="50BA1F05">
                    <w:pPr>
                      <w:pStyle w:val="4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95D61">
    <w:pPr>
      <w:pStyle w:val="47"/>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6210F0">
                          <w:pPr>
                            <w:pStyle w:val="47"/>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9+Z8oBAACbAwAADgAAAGRycy9lMm9Eb2MueG1srVPNjtMwEL4j8Q6W&#10;79TZC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DevKXHc4sTPP3+cf/05//5O&#10;0IcC9QFqzLsNmJmG937AtZn9gM7Me1DR5i8yIhhHeU8XeeWQiMiPVsvVqsKQwNh8QXx2/zxESB+k&#10;tyQbDY04vyIrP36CNKbOKbma8zfamDJD4/5zIGb2sNz72GO20rAbJkI7356QT4+jb6jDTafEfHSo&#10;bN6S2YizsZuNQ4h635U1yvUgvDskbKL0liuMsFNhnFlhN+1XXop/7yXr/p/a/A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09+Z8oBAACbAwAADgAAAAAAAAABACAAAAAeAQAAZHJzL2Uyb0Rv&#10;Yy54bWxQSwUGAAAAAAYABgBZAQAAWgUAAAAA&#10;">
              <v:fill on="f" focussize="0,0"/>
              <v:stroke on="f"/>
              <v:imagedata o:title=""/>
              <o:lock v:ext="edit" aspectratio="f"/>
              <v:textbox inset="0mm,0mm,0mm,0mm" style="mso-fit-shape-to-text:t;">
                <w:txbxContent>
                  <w:p w14:paraId="716210F0">
                    <w:pPr>
                      <w:pStyle w:val="4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800A6">
    <w:pPr>
      <w:pStyle w:val="47"/>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1A7131">
                          <w:pPr>
                            <w:pStyle w:val="4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Axy7so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2zpMRxixM///xx/vV4fvhO&#10;0IcC9QFqzLsLmJmG937AtZn9gM7Me1DR5i8yIhhHeU8XeeWQiMiPVsvVqsKQwNh8QXz29DxESB+k&#10;tyQbDY04vyIrP36CNKbOKbma87famDJD4/5yIGb2sNz72GO20rAbJkI7356QT4+jb6jDTafEfHSo&#10;bN6S2YizsZuNQ4h635U1yvUgvDskbKL0liuMsFNhnFlhN+1XXoo/7yXr6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yAxy7soBAACbAwAADgAAAAAAAAABACAAAAAeAQAAZHJzL2Uyb0Rv&#10;Yy54bWxQSwUGAAAAAAYABgBZAQAAWgUAAAAA&#10;">
              <v:fill on="f" focussize="0,0"/>
              <v:stroke on="f"/>
              <v:imagedata o:title=""/>
              <o:lock v:ext="edit" aspectratio="f"/>
              <v:textbox inset="0mm,0mm,0mm,0mm" style="mso-fit-shape-to-text:t;">
                <w:txbxContent>
                  <w:p w14:paraId="3E1A7131">
                    <w:pPr>
                      <w:pStyle w:val="4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43B51">
    <w:pPr>
      <w:pStyle w:val="4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EE7C6C">
                          <w:pPr>
                            <w:pStyle w:val="47"/>
                          </w:pPr>
                          <w:r>
                            <w:fldChar w:fldCharType="begin"/>
                          </w:r>
                          <w:r>
                            <w:instrText xml:space="preserve"> PAGE  \* MERGEFORMAT </w:instrText>
                          </w:r>
                          <w:r>
                            <w:fldChar w:fldCharType="separate"/>
                          </w:r>
                          <w:r>
                            <w:t>3</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sY/oMIBAACP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slJY5bnPjl+7fLj1+Xn18J&#10;+lCgPkCNeQ8BM9Nw5wdcm9kP6My8BxVt/iIjgnGU93yVVw6JiPxovVqvKwwJjM0XxGePz0OE9FZ6&#10;S7LR0IjzK7Ly03tIY+qckqs5f6+NKTM07i8HYmYPy72PPWYrDfthIrT37Rn59Dj6hjrcdErMO4fK&#10;5i2ZjTgb+8nINSDcHhMWLv1k1BFqKoZzKoymncqL8Oe9ZD3+R9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F7GP6DCAQAAjwMAAA4AAAAAAAAAAQAgAAAAHgEAAGRycy9lMm9Eb2MueG1sUEsF&#10;BgAAAAAGAAYAWQEAAFIFAAAAAA==&#10;">
              <v:fill on="f" focussize="0,0"/>
              <v:stroke on="f"/>
              <v:imagedata o:title=""/>
              <o:lock v:ext="edit" aspectratio="f"/>
              <v:textbox inset="0mm,0mm,0mm,0mm" style="mso-fit-shape-to-text:t;">
                <w:txbxContent>
                  <w:p w14:paraId="65EE7C6C">
                    <w:pPr>
                      <w:pStyle w:val="4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7A0DC">
    <w:pPr>
      <w:pStyle w:val="47"/>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582D92">
                          <w:pPr>
                            <w:pStyle w:val="47"/>
                          </w:pPr>
                          <w:r>
                            <w:fldChar w:fldCharType="begin"/>
                          </w:r>
                          <w:r>
                            <w:instrText xml:space="preserve"> PAGE  \* MERGEFORMAT </w:instrText>
                          </w:r>
                          <w:r>
                            <w:fldChar w:fldCharType="separate"/>
                          </w:r>
                          <w:r>
                            <w:t>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scIk8MBAACP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dvKXHc4sTPP3+cf/05//5O&#10;0IcC9QFqzLsNmJmG937AtZn9gM7Me1DR5i8yIhhHeU8XeeWQiMiPVsvVqsKQwNh8QXx2/zxESB+k&#10;tyQbDY04vyIrP36CNKbOKbma8zfamDJD4/5zIGb2sNz72GO20rAbJkI7356QT4+jb6jDTafEfHSo&#10;bN6S2YizsZuMXAPCu0PCwqWfjDpCTcVwToXRtFN5Ef69l6z7/2jz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BaxwiTwwEAAI8DAAAOAAAAAAAAAAEAIAAAAB4BAABkcnMvZTJvRG9jLnhtbFBL&#10;BQYAAAAABgAGAFkBAABTBQAAAAA=&#10;">
              <v:fill on="f" focussize="0,0"/>
              <v:stroke on="f"/>
              <v:imagedata o:title=""/>
              <o:lock v:ext="edit" aspectratio="f"/>
              <v:textbox inset="0mm,0mm,0mm,0mm" style="mso-fit-shape-to-text:t;">
                <w:txbxContent>
                  <w:p w14:paraId="64582D92">
                    <w:pPr>
                      <w:pStyle w:val="47"/>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66C64">
    <w:pPr>
      <w:pStyle w:val="48"/>
      <w:pBdr>
        <w:bottom w:val="none" w:color="auto" w:sz="0" w:space="0"/>
      </w:pBdr>
      <w:wordWrap w:val="0"/>
      <w:jc w:val="right"/>
      <w:rPr>
        <w:rFonts w:hint="eastAsia" w:hAnsi="宋体"/>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1989E">
    <w:pPr>
      <w:pStyle w:val="48"/>
      <w:pBdr>
        <w:bottom w:val="none" w:color="auto" w:sz="0" w:space="1"/>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74887">
    <w:pPr>
      <w:pStyle w:val="48"/>
      <w:pBdr>
        <w:bottom w:val="none" w:color="auto" w:sz="0" w:space="0"/>
      </w:pBdr>
      <w:wordWrap w:val="0"/>
      <w:jc w:val="both"/>
      <w:rPr>
        <w:szCs w:val="24"/>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270A3">
    <w:pPr>
      <w:pStyle w:val="48"/>
      <w:pBdr>
        <w:bottom w:val="none" w:color="auto" w:sz="0" w:space="0"/>
      </w:pBdr>
      <w:wordWrap w:val="0"/>
      <w:jc w:val="both"/>
      <w:rPr>
        <w:color w:val="FF0000"/>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B6C2E">
    <w:pPr>
      <w:pStyle w:val="48"/>
      <w:pBdr>
        <w:bottom w:val="none" w:color="auto" w:sz="0" w:space="1"/>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02F42">
    <w:pPr>
      <w:pStyle w:val="48"/>
      <w:pBdr>
        <w:bottom w:val="none" w:color="auto" w:sz="0" w:space="0"/>
      </w:pBdr>
      <w:wordWrap w:val="0"/>
      <w:jc w:val="both"/>
      <w:rPr>
        <w:szCs w:val="24"/>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CFC27">
    <w:pPr>
      <w:pStyle w:val="48"/>
      <w:pBdr>
        <w:bottom w:val="none" w:color="auto" w:sz="0" w:space="0"/>
      </w:pBdr>
      <w:wordWrap w:val="0"/>
      <w:jc w:val="both"/>
      <w:rPr>
        <w:color w:val="FF0000"/>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D4A9C">
    <w:pPr>
      <w:pStyle w:val="48"/>
      <w:pBdr>
        <w:bottom w:val="none" w:color="auto" w:sz="0" w:space="1"/>
      </w:pBd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B49B3">
    <w:pPr>
      <w:pStyle w:val="48"/>
      <w:pBdr>
        <w:bottom w:val="none" w:color="auto" w:sz="0" w:space="0"/>
      </w:pBdr>
      <w:wordWrap w:val="0"/>
      <w:jc w:val="both"/>
      <w:rPr>
        <w:szCs w:val="24"/>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FC413">
    <w:pPr>
      <w:pStyle w:val="48"/>
      <w:pBdr>
        <w:bottom w:val="none" w:color="auto" w:sz="0" w:space="0"/>
      </w:pBdr>
      <w:wordWrap w:val="0"/>
      <w:jc w:val="both"/>
      <w:rPr>
        <w:color w:val="FF0000"/>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C6C1F">
    <w:pPr>
      <w:pStyle w:val="4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76FA0">
    <w:pPr>
      <w:pStyle w:val="48"/>
      <w:pBdr>
        <w:top w:val="none" w:color="auto" w:sz="0" w:space="0"/>
        <w:left w:val="none" w:color="auto" w:sz="0" w:space="0"/>
        <w:bottom w:val="none" w:color="auto" w:sz="0" w:space="1"/>
        <w:right w:val="none" w:color="auto" w:sz="0" w:space="0"/>
        <w:between w:val="none" w:color="auto" w:sz="0" w:space="0"/>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90E0D">
    <w:pPr>
      <w:pStyle w:val="48"/>
      <w:pBdr>
        <w:bottom w:val="none" w:color="auto" w:sz="0" w:space="0"/>
      </w:pBdr>
      <w:wordWrap w:val="0"/>
      <w:jc w:val="both"/>
      <w:rPr>
        <w:color w:val="FF000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60461">
    <w:pPr>
      <w:pStyle w:val="48"/>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352EC">
    <w:pPr>
      <w:pStyle w:val="48"/>
      <w:pBdr>
        <w:top w:val="none" w:color="auto" w:sz="0" w:space="0"/>
        <w:left w:val="none" w:color="auto" w:sz="0" w:space="0"/>
        <w:bottom w:val="none" w:color="auto" w:sz="0" w:space="1"/>
        <w:right w:val="none" w:color="auto" w:sz="0" w:space="0"/>
        <w:between w:val="none" w:color="auto" w:sz="0" w:space="0"/>
      </w:pBdr>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09023">
    <w:pPr>
      <w:pStyle w:val="48"/>
      <w:pBdr>
        <w:bottom w:val="none" w:color="auto" w:sz="0" w:space="0"/>
      </w:pBdr>
      <w:wordWrap w:val="0"/>
      <w:jc w:val="both"/>
      <w:rPr>
        <w:color w:val="FF000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25781">
    <w:pPr>
      <w:pStyle w:val="48"/>
      <w:pBdr>
        <w:bottom w:val="none" w:color="auto" w:sz="0" w:space="1"/>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251EB">
    <w:pPr>
      <w:pStyle w:val="48"/>
      <w:pBdr>
        <w:bottom w:val="none" w:color="auto" w:sz="0" w:space="0"/>
      </w:pBdr>
      <w:wordWrap w:val="0"/>
      <w:jc w:val="both"/>
      <w:rPr>
        <w:szCs w:val="24"/>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84D98">
    <w:pPr>
      <w:pStyle w:val="48"/>
      <w:pBdr>
        <w:bottom w:val="none" w:color="auto" w:sz="0" w:space="0"/>
      </w:pBdr>
      <w:wordWrap w:val="0"/>
      <w:jc w:val="both"/>
      <w:rPr>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57C589"/>
    <w:multiLevelType w:val="singleLevel"/>
    <w:tmpl w:val="8257C589"/>
    <w:lvl w:ilvl="0" w:tentative="0">
      <w:start w:val="1"/>
      <w:numFmt w:val="decimal"/>
      <w:lvlText w:val="%1."/>
      <w:lvlJc w:val="left"/>
      <w:pPr>
        <w:tabs>
          <w:tab w:val="left" w:pos="312"/>
        </w:tabs>
      </w:pPr>
    </w:lvl>
  </w:abstractNum>
  <w:abstractNum w:abstractNumId="1">
    <w:nsid w:val="F8EFD9EF"/>
    <w:multiLevelType w:val="singleLevel"/>
    <w:tmpl w:val="F8EFD9EF"/>
    <w:lvl w:ilvl="0" w:tentative="0">
      <w:start w:val="1"/>
      <w:numFmt w:val="decimal"/>
      <w:suff w:val="nothing"/>
      <w:lvlText w:val="%1、"/>
      <w:lvlJc w:val="left"/>
    </w:lvl>
  </w:abstractNum>
  <w:abstractNum w:abstractNumId="2">
    <w:nsid w:val="FFFFFF7C"/>
    <w:multiLevelType w:val="singleLevel"/>
    <w:tmpl w:val="FFFFFF7C"/>
    <w:lvl w:ilvl="0" w:tentative="0">
      <w:start w:val="1"/>
      <w:numFmt w:val="decimal"/>
      <w:pStyle w:val="271"/>
      <w:lvlText w:val="%1."/>
      <w:lvlJc w:val="left"/>
      <w:pPr>
        <w:tabs>
          <w:tab w:val="left" w:pos="3458"/>
        </w:tabs>
        <w:ind w:left="3458" w:hanging="360"/>
      </w:pPr>
    </w:lvl>
  </w:abstractNum>
  <w:abstractNum w:abstractNumId="3">
    <w:nsid w:val="FFFFFF7E"/>
    <w:multiLevelType w:val="singleLevel"/>
    <w:tmpl w:val="FFFFFF7E"/>
    <w:lvl w:ilvl="0" w:tentative="0">
      <w:start w:val="1"/>
      <w:numFmt w:val="decimal"/>
      <w:pStyle w:val="35"/>
      <w:lvlText w:val="%1."/>
      <w:lvlJc w:val="left"/>
      <w:pPr>
        <w:tabs>
          <w:tab w:val="left" w:pos="1200"/>
        </w:tabs>
        <w:ind w:left="1200" w:hanging="360"/>
      </w:pPr>
    </w:lvl>
  </w:abstractNum>
  <w:abstractNum w:abstractNumId="4">
    <w:nsid w:val="FFFFFF7F"/>
    <w:multiLevelType w:val="singleLevel"/>
    <w:tmpl w:val="FFFFFF7F"/>
    <w:lvl w:ilvl="0" w:tentative="0">
      <w:start w:val="1"/>
      <w:numFmt w:val="decimal"/>
      <w:pStyle w:val="16"/>
      <w:lvlText w:val="%1."/>
      <w:lvlJc w:val="left"/>
      <w:pPr>
        <w:tabs>
          <w:tab w:val="left" w:pos="780"/>
        </w:tabs>
        <w:ind w:left="780" w:hanging="360"/>
      </w:pPr>
    </w:lvl>
  </w:abstractNum>
  <w:abstractNum w:abstractNumId="5">
    <w:nsid w:val="FFFFFF80"/>
    <w:multiLevelType w:val="singleLevel"/>
    <w:tmpl w:val="FFFFFF80"/>
    <w:lvl w:ilvl="0" w:tentative="0">
      <w:start w:val="1"/>
      <w:numFmt w:val="bullet"/>
      <w:pStyle w:val="55"/>
      <w:lvlText w:val=""/>
      <w:lvlJc w:val="left"/>
      <w:pPr>
        <w:tabs>
          <w:tab w:val="left" w:pos="2040"/>
        </w:tabs>
        <w:ind w:left="2040" w:hanging="360"/>
      </w:pPr>
      <w:rPr>
        <w:rFonts w:hint="default" w:ascii="Wingdings" w:hAnsi="Wingdings"/>
      </w:rPr>
    </w:lvl>
  </w:abstractNum>
  <w:abstractNum w:abstractNumId="6">
    <w:nsid w:val="FFFFFF81"/>
    <w:multiLevelType w:val="singleLevel"/>
    <w:tmpl w:val="FFFFFF81"/>
    <w:lvl w:ilvl="0" w:tentative="0">
      <w:start w:val="1"/>
      <w:numFmt w:val="bullet"/>
      <w:pStyle w:val="18"/>
      <w:lvlText w:val=""/>
      <w:lvlJc w:val="left"/>
      <w:pPr>
        <w:tabs>
          <w:tab w:val="left" w:pos="1620"/>
        </w:tabs>
        <w:ind w:left="1620" w:hanging="360"/>
      </w:pPr>
      <w:rPr>
        <w:rFonts w:hint="default" w:ascii="Wingdings" w:hAnsi="Wingdings"/>
      </w:rPr>
    </w:lvl>
  </w:abstractNum>
  <w:abstractNum w:abstractNumId="7">
    <w:nsid w:val="FFFFFF82"/>
    <w:multiLevelType w:val="singleLevel"/>
    <w:tmpl w:val="FFFFFF82"/>
    <w:lvl w:ilvl="0" w:tentative="0">
      <w:start w:val="1"/>
      <w:numFmt w:val="bullet"/>
      <w:pStyle w:val="31"/>
      <w:lvlText w:val=""/>
      <w:lvlJc w:val="left"/>
      <w:pPr>
        <w:tabs>
          <w:tab w:val="left" w:pos="1200"/>
        </w:tabs>
        <w:ind w:left="1200" w:hanging="360"/>
      </w:pPr>
      <w:rPr>
        <w:rFonts w:hint="default" w:ascii="Wingdings" w:hAnsi="Wingdings"/>
      </w:rPr>
    </w:lvl>
  </w:abstractNum>
  <w:abstractNum w:abstractNumId="8">
    <w:nsid w:val="FFFFFF83"/>
    <w:multiLevelType w:val="singleLevel"/>
    <w:tmpl w:val="FFFFFF83"/>
    <w:lvl w:ilvl="0" w:tentative="0">
      <w:start w:val="1"/>
      <w:numFmt w:val="bullet"/>
      <w:pStyle w:val="39"/>
      <w:lvlText w:val=""/>
      <w:lvlJc w:val="left"/>
      <w:pPr>
        <w:tabs>
          <w:tab w:val="left" w:pos="780"/>
        </w:tabs>
        <w:ind w:left="780" w:hanging="360"/>
      </w:pPr>
      <w:rPr>
        <w:rFonts w:hint="default" w:ascii="Wingdings" w:hAnsi="Wingdings"/>
      </w:rPr>
    </w:lvl>
  </w:abstractNum>
  <w:abstractNum w:abstractNumId="9">
    <w:nsid w:val="FFFFFF88"/>
    <w:multiLevelType w:val="singleLevel"/>
    <w:tmpl w:val="FFFFFF88"/>
    <w:lvl w:ilvl="0" w:tentative="0">
      <w:start w:val="1"/>
      <w:numFmt w:val="decimal"/>
      <w:pStyle w:val="21"/>
      <w:lvlText w:val="%1."/>
      <w:lvlJc w:val="left"/>
      <w:pPr>
        <w:tabs>
          <w:tab w:val="left" w:pos="360"/>
        </w:tabs>
        <w:ind w:left="360" w:hanging="360"/>
      </w:pPr>
    </w:lvl>
  </w:abstractNum>
  <w:abstractNum w:abstractNumId="10">
    <w:nsid w:val="FFFFFF89"/>
    <w:multiLevelType w:val="singleLevel"/>
    <w:tmpl w:val="FFFFFF89"/>
    <w:lvl w:ilvl="0" w:tentative="0">
      <w:start w:val="1"/>
      <w:numFmt w:val="bullet"/>
      <w:pStyle w:val="28"/>
      <w:lvlText w:val=""/>
      <w:lvlJc w:val="left"/>
      <w:pPr>
        <w:tabs>
          <w:tab w:val="left" w:pos="360"/>
        </w:tabs>
        <w:ind w:left="360" w:hanging="360"/>
      </w:pPr>
      <w:rPr>
        <w:rFonts w:hint="default" w:ascii="Wingdings" w:hAnsi="Wingdings"/>
      </w:rPr>
    </w:lvl>
  </w:abstractNum>
  <w:abstractNum w:abstractNumId="11">
    <w:nsid w:val="0AE70395"/>
    <w:multiLevelType w:val="multilevel"/>
    <w:tmpl w:val="0AE70395"/>
    <w:lvl w:ilvl="0" w:tentative="0">
      <w:start w:val="1"/>
      <w:numFmt w:val="decimal"/>
      <w:pStyle w:val="460"/>
      <w:lvlText w:val="%1"/>
      <w:lvlJc w:val="left"/>
      <w:pPr>
        <w:tabs>
          <w:tab w:val="left" w:pos="425"/>
        </w:tabs>
        <w:ind w:left="425" w:hanging="425"/>
      </w:pPr>
      <w:rPr>
        <w:rFonts w:hint="default" w:ascii="Times New Roman" w:hAnsi="Times New Roman" w:eastAsia="黑体"/>
        <w:b/>
        <w:i w:val="0"/>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b/>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2">
    <w:nsid w:val="1FC91163"/>
    <w:multiLevelType w:val="multilevel"/>
    <w:tmpl w:val="1FC91163"/>
    <w:lvl w:ilvl="0" w:tentative="0">
      <w:start w:val="1"/>
      <w:numFmt w:val="decimal"/>
      <w:pStyle w:val="424"/>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568"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23FA5732"/>
    <w:multiLevelType w:val="singleLevel"/>
    <w:tmpl w:val="23FA5732"/>
    <w:lvl w:ilvl="0" w:tentative="0">
      <w:start w:val="6"/>
      <w:numFmt w:val="chineseCounting"/>
      <w:suff w:val="space"/>
      <w:lvlText w:val="第%1章"/>
      <w:lvlJc w:val="left"/>
      <w:rPr>
        <w:rFonts w:hint="eastAsia"/>
      </w:rPr>
    </w:lvl>
  </w:abstractNum>
  <w:abstractNum w:abstractNumId="14">
    <w:nsid w:val="33AF7FE0"/>
    <w:multiLevelType w:val="multilevel"/>
    <w:tmpl w:val="33AF7FE0"/>
    <w:lvl w:ilvl="0" w:tentative="0">
      <w:start w:val="1"/>
      <w:numFmt w:val="decimal"/>
      <w:pStyle w:val="14"/>
      <w:lvlText w:val="%1."/>
      <w:lvlJc w:val="left"/>
      <w:pPr>
        <w:ind w:left="780" w:hanging="36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5">
    <w:nsid w:val="68F30DAB"/>
    <w:multiLevelType w:val="multilevel"/>
    <w:tmpl w:val="68F30DAB"/>
    <w:lvl w:ilvl="0" w:tentative="0">
      <w:start w:val="1"/>
      <w:numFmt w:val="decimal"/>
      <w:pStyle w:val="498"/>
      <w:lvlText w:val="(%1)"/>
      <w:lvlJc w:val="left"/>
      <w:pPr>
        <w:tabs>
          <w:tab w:val="left" w:pos="737"/>
        </w:tabs>
        <w:ind w:left="737" w:hanging="624"/>
      </w:pPr>
      <w:rPr>
        <w:rFonts w:hint="eastAsia" w:eastAsia="宋体"/>
        <w:b w:val="0"/>
        <w:bCs w:val="0"/>
        <w:i w:val="0"/>
        <w:iCs w:val="0"/>
        <w:caps w:val="0"/>
        <w:smallCaps w:val="0"/>
        <w:strike w:val="0"/>
        <w:dstrike w:val="0"/>
        <w:vanish w:val="0"/>
        <w:color w:val="000000"/>
        <w:spacing w:val="0"/>
        <w:kern w:val="0"/>
        <w:position w:val="0"/>
        <w:sz w:val="21"/>
        <w:szCs w:val="21"/>
        <w:u w:val="none"/>
        <w:vertAlign w:val="baseline"/>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4"/>
  </w:num>
  <w:num w:numId="2">
    <w:abstractNumId w:val="4"/>
  </w:num>
  <w:num w:numId="3">
    <w:abstractNumId w:val="6"/>
  </w:num>
  <w:num w:numId="4">
    <w:abstractNumId w:val="9"/>
  </w:num>
  <w:num w:numId="5">
    <w:abstractNumId w:val="10"/>
  </w:num>
  <w:num w:numId="6">
    <w:abstractNumId w:val="7"/>
  </w:num>
  <w:num w:numId="7">
    <w:abstractNumId w:val="3"/>
  </w:num>
  <w:num w:numId="8">
    <w:abstractNumId w:val="8"/>
  </w:num>
  <w:num w:numId="9">
    <w:abstractNumId w:val="5"/>
  </w:num>
  <w:num w:numId="10">
    <w:abstractNumId w:val="2"/>
  </w:num>
  <w:num w:numId="11">
    <w:abstractNumId w:val="12"/>
  </w:num>
  <w:num w:numId="12">
    <w:abstractNumId w:val="11"/>
  </w:num>
  <w:num w:numId="13">
    <w:abstractNumId w:val="15"/>
  </w:num>
  <w:num w:numId="14">
    <w:abstractNumId w:val="1"/>
  </w:num>
  <w:num w:numId="15">
    <w:abstractNumId w:val="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1"/>
  <w:bordersDoNotSurroundFooter w:val="1"/>
  <w:hideSpellingErrors/>
  <w:documentProtection w:edit="trackedChanges"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BkODkyMjc4ZmYwYzQxMDdkYTM2ZTY4NGVlZGY2ZTYifQ=="/>
  </w:docVars>
  <w:rsids>
    <w:rsidRoot w:val="000818EB"/>
    <w:rsid w:val="000079ED"/>
    <w:rsid w:val="00010FCF"/>
    <w:rsid w:val="00016EC5"/>
    <w:rsid w:val="00023BCC"/>
    <w:rsid w:val="00024F8B"/>
    <w:rsid w:val="0002620F"/>
    <w:rsid w:val="00033446"/>
    <w:rsid w:val="00037861"/>
    <w:rsid w:val="00037D9F"/>
    <w:rsid w:val="00045395"/>
    <w:rsid w:val="00047279"/>
    <w:rsid w:val="000477DC"/>
    <w:rsid w:val="00053620"/>
    <w:rsid w:val="00055458"/>
    <w:rsid w:val="00056001"/>
    <w:rsid w:val="0005735B"/>
    <w:rsid w:val="0006098B"/>
    <w:rsid w:val="00063456"/>
    <w:rsid w:val="000673E0"/>
    <w:rsid w:val="000676D9"/>
    <w:rsid w:val="000676DF"/>
    <w:rsid w:val="000703A6"/>
    <w:rsid w:val="00077E4A"/>
    <w:rsid w:val="000818EB"/>
    <w:rsid w:val="00082AF4"/>
    <w:rsid w:val="00083780"/>
    <w:rsid w:val="00085869"/>
    <w:rsid w:val="000879D3"/>
    <w:rsid w:val="00091CFB"/>
    <w:rsid w:val="00092131"/>
    <w:rsid w:val="000928CB"/>
    <w:rsid w:val="00094966"/>
    <w:rsid w:val="00096EDD"/>
    <w:rsid w:val="000A0735"/>
    <w:rsid w:val="000A0777"/>
    <w:rsid w:val="000A1B7F"/>
    <w:rsid w:val="000A2993"/>
    <w:rsid w:val="000B0844"/>
    <w:rsid w:val="000B0DA0"/>
    <w:rsid w:val="000B6F91"/>
    <w:rsid w:val="000B7E97"/>
    <w:rsid w:val="000C0604"/>
    <w:rsid w:val="000C2D65"/>
    <w:rsid w:val="000C4263"/>
    <w:rsid w:val="000C4AF8"/>
    <w:rsid w:val="000C5101"/>
    <w:rsid w:val="000C62D6"/>
    <w:rsid w:val="000D2987"/>
    <w:rsid w:val="000D6813"/>
    <w:rsid w:val="000E0039"/>
    <w:rsid w:val="000E0649"/>
    <w:rsid w:val="000E1270"/>
    <w:rsid w:val="000F3C94"/>
    <w:rsid w:val="000F3CC8"/>
    <w:rsid w:val="000F5665"/>
    <w:rsid w:val="00101EC3"/>
    <w:rsid w:val="001039BB"/>
    <w:rsid w:val="001052BD"/>
    <w:rsid w:val="00110491"/>
    <w:rsid w:val="00110B33"/>
    <w:rsid w:val="00112CB9"/>
    <w:rsid w:val="00113471"/>
    <w:rsid w:val="00120C52"/>
    <w:rsid w:val="001214E9"/>
    <w:rsid w:val="00123139"/>
    <w:rsid w:val="00123C4D"/>
    <w:rsid w:val="00123E65"/>
    <w:rsid w:val="00124561"/>
    <w:rsid w:val="00125B73"/>
    <w:rsid w:val="00127027"/>
    <w:rsid w:val="00127354"/>
    <w:rsid w:val="00131163"/>
    <w:rsid w:val="00132B4B"/>
    <w:rsid w:val="00133072"/>
    <w:rsid w:val="001373A0"/>
    <w:rsid w:val="00144A74"/>
    <w:rsid w:val="00145BF0"/>
    <w:rsid w:val="00147165"/>
    <w:rsid w:val="0015306B"/>
    <w:rsid w:val="00153B3B"/>
    <w:rsid w:val="00155715"/>
    <w:rsid w:val="0015751C"/>
    <w:rsid w:val="0015773B"/>
    <w:rsid w:val="00157CB1"/>
    <w:rsid w:val="00160771"/>
    <w:rsid w:val="00163BC0"/>
    <w:rsid w:val="001648A1"/>
    <w:rsid w:val="00165CDA"/>
    <w:rsid w:val="0016715E"/>
    <w:rsid w:val="001709B0"/>
    <w:rsid w:val="00171E8F"/>
    <w:rsid w:val="00174B76"/>
    <w:rsid w:val="001768EE"/>
    <w:rsid w:val="001823FB"/>
    <w:rsid w:val="00192397"/>
    <w:rsid w:val="001930C6"/>
    <w:rsid w:val="001947C9"/>
    <w:rsid w:val="00197216"/>
    <w:rsid w:val="001A25EB"/>
    <w:rsid w:val="001A2A97"/>
    <w:rsid w:val="001A2D87"/>
    <w:rsid w:val="001A56CB"/>
    <w:rsid w:val="001A6A27"/>
    <w:rsid w:val="001B209B"/>
    <w:rsid w:val="001B372F"/>
    <w:rsid w:val="001C1F0C"/>
    <w:rsid w:val="001D65DB"/>
    <w:rsid w:val="001E0819"/>
    <w:rsid w:val="001E3B4F"/>
    <w:rsid w:val="001E4DBE"/>
    <w:rsid w:val="001E653A"/>
    <w:rsid w:val="001F6547"/>
    <w:rsid w:val="00201BF7"/>
    <w:rsid w:val="00210A78"/>
    <w:rsid w:val="002128C3"/>
    <w:rsid w:val="00214956"/>
    <w:rsid w:val="00214A66"/>
    <w:rsid w:val="00222B3A"/>
    <w:rsid w:val="00223E77"/>
    <w:rsid w:val="00224165"/>
    <w:rsid w:val="00226079"/>
    <w:rsid w:val="00232295"/>
    <w:rsid w:val="00232448"/>
    <w:rsid w:val="00232B94"/>
    <w:rsid w:val="002361B0"/>
    <w:rsid w:val="002379B8"/>
    <w:rsid w:val="00251056"/>
    <w:rsid w:val="00252BC4"/>
    <w:rsid w:val="002571C3"/>
    <w:rsid w:val="002601F1"/>
    <w:rsid w:val="00262C3B"/>
    <w:rsid w:val="00270965"/>
    <w:rsid w:val="002727A1"/>
    <w:rsid w:val="002765BC"/>
    <w:rsid w:val="00276B8B"/>
    <w:rsid w:val="0028111F"/>
    <w:rsid w:val="0028365B"/>
    <w:rsid w:val="002837A2"/>
    <w:rsid w:val="002861C5"/>
    <w:rsid w:val="002956BD"/>
    <w:rsid w:val="002A11E8"/>
    <w:rsid w:val="002A1309"/>
    <w:rsid w:val="002B1336"/>
    <w:rsid w:val="002C02F0"/>
    <w:rsid w:val="002C27BF"/>
    <w:rsid w:val="002C3CD5"/>
    <w:rsid w:val="002C5DCA"/>
    <w:rsid w:val="002C6069"/>
    <w:rsid w:val="002D2AE8"/>
    <w:rsid w:val="002D515A"/>
    <w:rsid w:val="002D5BCE"/>
    <w:rsid w:val="002E0053"/>
    <w:rsid w:val="002E6099"/>
    <w:rsid w:val="002E6A2F"/>
    <w:rsid w:val="002E7866"/>
    <w:rsid w:val="002E7D80"/>
    <w:rsid w:val="002F2794"/>
    <w:rsid w:val="002F46D2"/>
    <w:rsid w:val="0030041C"/>
    <w:rsid w:val="003044B1"/>
    <w:rsid w:val="00304725"/>
    <w:rsid w:val="00314755"/>
    <w:rsid w:val="0032051A"/>
    <w:rsid w:val="003220C5"/>
    <w:rsid w:val="003226F8"/>
    <w:rsid w:val="003305C8"/>
    <w:rsid w:val="00333285"/>
    <w:rsid w:val="003341DE"/>
    <w:rsid w:val="003369C3"/>
    <w:rsid w:val="00337E36"/>
    <w:rsid w:val="00340666"/>
    <w:rsid w:val="00341286"/>
    <w:rsid w:val="00341BE3"/>
    <w:rsid w:val="003428D1"/>
    <w:rsid w:val="0034325F"/>
    <w:rsid w:val="00345961"/>
    <w:rsid w:val="00347002"/>
    <w:rsid w:val="00347848"/>
    <w:rsid w:val="003479A6"/>
    <w:rsid w:val="00350E80"/>
    <w:rsid w:val="003527AC"/>
    <w:rsid w:val="00355F9F"/>
    <w:rsid w:val="00357C8A"/>
    <w:rsid w:val="00360EC7"/>
    <w:rsid w:val="00362AED"/>
    <w:rsid w:val="0036305F"/>
    <w:rsid w:val="00363905"/>
    <w:rsid w:val="00364888"/>
    <w:rsid w:val="00364964"/>
    <w:rsid w:val="003652C7"/>
    <w:rsid w:val="00365785"/>
    <w:rsid w:val="00370D2C"/>
    <w:rsid w:val="00371919"/>
    <w:rsid w:val="003729BA"/>
    <w:rsid w:val="00372EA7"/>
    <w:rsid w:val="00374A2F"/>
    <w:rsid w:val="00380049"/>
    <w:rsid w:val="00380EB3"/>
    <w:rsid w:val="00381CD5"/>
    <w:rsid w:val="00390EF3"/>
    <w:rsid w:val="003914DA"/>
    <w:rsid w:val="003931FE"/>
    <w:rsid w:val="00394B75"/>
    <w:rsid w:val="00396276"/>
    <w:rsid w:val="00396C89"/>
    <w:rsid w:val="003973C6"/>
    <w:rsid w:val="003A07CE"/>
    <w:rsid w:val="003A27F1"/>
    <w:rsid w:val="003A6343"/>
    <w:rsid w:val="003A6581"/>
    <w:rsid w:val="003B0F0A"/>
    <w:rsid w:val="003B3C14"/>
    <w:rsid w:val="003B4B64"/>
    <w:rsid w:val="003B6163"/>
    <w:rsid w:val="003C3375"/>
    <w:rsid w:val="003C6F02"/>
    <w:rsid w:val="003D254F"/>
    <w:rsid w:val="003D4F50"/>
    <w:rsid w:val="003D53E0"/>
    <w:rsid w:val="003E35B2"/>
    <w:rsid w:val="003F0F0F"/>
    <w:rsid w:val="003F12B7"/>
    <w:rsid w:val="003F24A7"/>
    <w:rsid w:val="003F5FB5"/>
    <w:rsid w:val="003F60CC"/>
    <w:rsid w:val="00400200"/>
    <w:rsid w:val="00402CB7"/>
    <w:rsid w:val="00406C1A"/>
    <w:rsid w:val="00407D71"/>
    <w:rsid w:val="004107FA"/>
    <w:rsid w:val="00410F96"/>
    <w:rsid w:val="00413F7B"/>
    <w:rsid w:val="0041400A"/>
    <w:rsid w:val="004177AF"/>
    <w:rsid w:val="0042428A"/>
    <w:rsid w:val="00424C01"/>
    <w:rsid w:val="00431C70"/>
    <w:rsid w:val="00432AC2"/>
    <w:rsid w:val="00432FD4"/>
    <w:rsid w:val="00435EC2"/>
    <w:rsid w:val="00437B37"/>
    <w:rsid w:val="004415B2"/>
    <w:rsid w:val="00450065"/>
    <w:rsid w:val="004501BD"/>
    <w:rsid w:val="0045061F"/>
    <w:rsid w:val="00456AB5"/>
    <w:rsid w:val="00463670"/>
    <w:rsid w:val="00463A0C"/>
    <w:rsid w:val="0047091E"/>
    <w:rsid w:val="00473E88"/>
    <w:rsid w:val="00474298"/>
    <w:rsid w:val="004742DF"/>
    <w:rsid w:val="004754DF"/>
    <w:rsid w:val="00476DB2"/>
    <w:rsid w:val="00484B6B"/>
    <w:rsid w:val="0049340F"/>
    <w:rsid w:val="00495A09"/>
    <w:rsid w:val="00495D1B"/>
    <w:rsid w:val="004A288B"/>
    <w:rsid w:val="004A3DB0"/>
    <w:rsid w:val="004A431D"/>
    <w:rsid w:val="004B1106"/>
    <w:rsid w:val="004B5748"/>
    <w:rsid w:val="004C4603"/>
    <w:rsid w:val="004C6934"/>
    <w:rsid w:val="004D17D8"/>
    <w:rsid w:val="004D42A6"/>
    <w:rsid w:val="004D4871"/>
    <w:rsid w:val="004D5193"/>
    <w:rsid w:val="004D7F19"/>
    <w:rsid w:val="004E28DD"/>
    <w:rsid w:val="004E5BBF"/>
    <w:rsid w:val="004F1A40"/>
    <w:rsid w:val="004F275D"/>
    <w:rsid w:val="004F5225"/>
    <w:rsid w:val="004F6622"/>
    <w:rsid w:val="00501E42"/>
    <w:rsid w:val="0050444B"/>
    <w:rsid w:val="00506242"/>
    <w:rsid w:val="00506CD9"/>
    <w:rsid w:val="005070E0"/>
    <w:rsid w:val="00507810"/>
    <w:rsid w:val="005140AE"/>
    <w:rsid w:val="00515944"/>
    <w:rsid w:val="0051794B"/>
    <w:rsid w:val="00526456"/>
    <w:rsid w:val="00527641"/>
    <w:rsid w:val="00527EFB"/>
    <w:rsid w:val="005307A2"/>
    <w:rsid w:val="00531BC7"/>
    <w:rsid w:val="00536005"/>
    <w:rsid w:val="005433B2"/>
    <w:rsid w:val="0054443A"/>
    <w:rsid w:val="005519FE"/>
    <w:rsid w:val="005532F9"/>
    <w:rsid w:val="00566B70"/>
    <w:rsid w:val="005726CF"/>
    <w:rsid w:val="00575E04"/>
    <w:rsid w:val="005774D8"/>
    <w:rsid w:val="00580DF9"/>
    <w:rsid w:val="00582CEB"/>
    <w:rsid w:val="005842B8"/>
    <w:rsid w:val="00584969"/>
    <w:rsid w:val="005849A7"/>
    <w:rsid w:val="00592BC8"/>
    <w:rsid w:val="005A05EA"/>
    <w:rsid w:val="005A363A"/>
    <w:rsid w:val="005A3712"/>
    <w:rsid w:val="005A526B"/>
    <w:rsid w:val="005B11E8"/>
    <w:rsid w:val="005B2D2E"/>
    <w:rsid w:val="005C4135"/>
    <w:rsid w:val="005C53EC"/>
    <w:rsid w:val="005D00DF"/>
    <w:rsid w:val="005D400F"/>
    <w:rsid w:val="005D4744"/>
    <w:rsid w:val="005E1000"/>
    <w:rsid w:val="005E711B"/>
    <w:rsid w:val="005E74AC"/>
    <w:rsid w:val="005E7801"/>
    <w:rsid w:val="00601D8B"/>
    <w:rsid w:val="0060236A"/>
    <w:rsid w:val="00602ECF"/>
    <w:rsid w:val="00603AC8"/>
    <w:rsid w:val="006138A4"/>
    <w:rsid w:val="00615DA8"/>
    <w:rsid w:val="00617911"/>
    <w:rsid w:val="006210AF"/>
    <w:rsid w:val="00622B8C"/>
    <w:rsid w:val="00622CC1"/>
    <w:rsid w:val="0062464F"/>
    <w:rsid w:val="00625F35"/>
    <w:rsid w:val="006310BD"/>
    <w:rsid w:val="006326E3"/>
    <w:rsid w:val="00636CF9"/>
    <w:rsid w:val="006434CA"/>
    <w:rsid w:val="006457AB"/>
    <w:rsid w:val="00647986"/>
    <w:rsid w:val="00650A7F"/>
    <w:rsid w:val="00650AD5"/>
    <w:rsid w:val="006530B7"/>
    <w:rsid w:val="00653CE2"/>
    <w:rsid w:val="00653E29"/>
    <w:rsid w:val="006557E3"/>
    <w:rsid w:val="00656124"/>
    <w:rsid w:val="00661205"/>
    <w:rsid w:val="006669DD"/>
    <w:rsid w:val="00670A26"/>
    <w:rsid w:val="00671125"/>
    <w:rsid w:val="00674812"/>
    <w:rsid w:val="00675B6C"/>
    <w:rsid w:val="00675E1B"/>
    <w:rsid w:val="00676F23"/>
    <w:rsid w:val="006775F1"/>
    <w:rsid w:val="00677CA3"/>
    <w:rsid w:val="00684376"/>
    <w:rsid w:val="0069082E"/>
    <w:rsid w:val="006909C4"/>
    <w:rsid w:val="0069361B"/>
    <w:rsid w:val="006956C9"/>
    <w:rsid w:val="00695875"/>
    <w:rsid w:val="006A0521"/>
    <w:rsid w:val="006A1884"/>
    <w:rsid w:val="006A2F93"/>
    <w:rsid w:val="006A5CA6"/>
    <w:rsid w:val="006A6D40"/>
    <w:rsid w:val="006A74CE"/>
    <w:rsid w:val="006B088B"/>
    <w:rsid w:val="006B34E7"/>
    <w:rsid w:val="006B3B25"/>
    <w:rsid w:val="006B4C4A"/>
    <w:rsid w:val="006B6561"/>
    <w:rsid w:val="006B680C"/>
    <w:rsid w:val="006C2834"/>
    <w:rsid w:val="006C37D4"/>
    <w:rsid w:val="006E6501"/>
    <w:rsid w:val="006E6A56"/>
    <w:rsid w:val="006E6B08"/>
    <w:rsid w:val="006E6CBD"/>
    <w:rsid w:val="006F062A"/>
    <w:rsid w:val="006F26E5"/>
    <w:rsid w:val="006F55DF"/>
    <w:rsid w:val="0070012C"/>
    <w:rsid w:val="007010BD"/>
    <w:rsid w:val="00702EDE"/>
    <w:rsid w:val="007058CB"/>
    <w:rsid w:val="00707732"/>
    <w:rsid w:val="00711F53"/>
    <w:rsid w:val="00713C75"/>
    <w:rsid w:val="007172D8"/>
    <w:rsid w:val="007176FD"/>
    <w:rsid w:val="00723474"/>
    <w:rsid w:val="00724D2C"/>
    <w:rsid w:val="00727907"/>
    <w:rsid w:val="00731FEB"/>
    <w:rsid w:val="00732617"/>
    <w:rsid w:val="007402E9"/>
    <w:rsid w:val="00740CAA"/>
    <w:rsid w:val="0074154A"/>
    <w:rsid w:val="00744F34"/>
    <w:rsid w:val="00746262"/>
    <w:rsid w:val="0074654F"/>
    <w:rsid w:val="00747532"/>
    <w:rsid w:val="0075796E"/>
    <w:rsid w:val="00763067"/>
    <w:rsid w:val="00765B10"/>
    <w:rsid w:val="00767893"/>
    <w:rsid w:val="00770146"/>
    <w:rsid w:val="007721EC"/>
    <w:rsid w:val="00772377"/>
    <w:rsid w:val="00773EC5"/>
    <w:rsid w:val="00774C44"/>
    <w:rsid w:val="007754B4"/>
    <w:rsid w:val="007777DF"/>
    <w:rsid w:val="00781471"/>
    <w:rsid w:val="007A1EB8"/>
    <w:rsid w:val="007A4D4A"/>
    <w:rsid w:val="007A6214"/>
    <w:rsid w:val="007B0EC6"/>
    <w:rsid w:val="007B4344"/>
    <w:rsid w:val="007C027B"/>
    <w:rsid w:val="007C1708"/>
    <w:rsid w:val="007C4138"/>
    <w:rsid w:val="007C55D0"/>
    <w:rsid w:val="007C5774"/>
    <w:rsid w:val="007D0432"/>
    <w:rsid w:val="007D2044"/>
    <w:rsid w:val="007D26F5"/>
    <w:rsid w:val="007D3468"/>
    <w:rsid w:val="007D3A81"/>
    <w:rsid w:val="007D4456"/>
    <w:rsid w:val="007D546E"/>
    <w:rsid w:val="007D6788"/>
    <w:rsid w:val="007D7009"/>
    <w:rsid w:val="007D78EA"/>
    <w:rsid w:val="007D7BD0"/>
    <w:rsid w:val="007E2458"/>
    <w:rsid w:val="007E669F"/>
    <w:rsid w:val="007E76E6"/>
    <w:rsid w:val="007F1C5D"/>
    <w:rsid w:val="007F47B3"/>
    <w:rsid w:val="008010B7"/>
    <w:rsid w:val="00803A92"/>
    <w:rsid w:val="008100D6"/>
    <w:rsid w:val="008151B9"/>
    <w:rsid w:val="00817645"/>
    <w:rsid w:val="00820716"/>
    <w:rsid w:val="00822218"/>
    <w:rsid w:val="00823244"/>
    <w:rsid w:val="008261FA"/>
    <w:rsid w:val="00826FB4"/>
    <w:rsid w:val="0082721F"/>
    <w:rsid w:val="00830B6A"/>
    <w:rsid w:val="00832435"/>
    <w:rsid w:val="00834A04"/>
    <w:rsid w:val="00837E67"/>
    <w:rsid w:val="008406C1"/>
    <w:rsid w:val="008426B2"/>
    <w:rsid w:val="008426B8"/>
    <w:rsid w:val="008447E2"/>
    <w:rsid w:val="008457B6"/>
    <w:rsid w:val="00850A8A"/>
    <w:rsid w:val="0085658D"/>
    <w:rsid w:val="0085727C"/>
    <w:rsid w:val="00857949"/>
    <w:rsid w:val="00860C3B"/>
    <w:rsid w:val="00863F73"/>
    <w:rsid w:val="00866860"/>
    <w:rsid w:val="0086699C"/>
    <w:rsid w:val="0086729B"/>
    <w:rsid w:val="00875BE9"/>
    <w:rsid w:val="0088191A"/>
    <w:rsid w:val="00882D3A"/>
    <w:rsid w:val="008838FF"/>
    <w:rsid w:val="00884D42"/>
    <w:rsid w:val="00886EAD"/>
    <w:rsid w:val="00894B46"/>
    <w:rsid w:val="00894C7E"/>
    <w:rsid w:val="0089599A"/>
    <w:rsid w:val="00896C59"/>
    <w:rsid w:val="00897F73"/>
    <w:rsid w:val="008A3B75"/>
    <w:rsid w:val="008A41E5"/>
    <w:rsid w:val="008A7ABB"/>
    <w:rsid w:val="008B109F"/>
    <w:rsid w:val="008B1952"/>
    <w:rsid w:val="008B7992"/>
    <w:rsid w:val="008D0AB1"/>
    <w:rsid w:val="008D2C1A"/>
    <w:rsid w:val="008D3C6B"/>
    <w:rsid w:val="008D51AA"/>
    <w:rsid w:val="008D617F"/>
    <w:rsid w:val="008D6DEA"/>
    <w:rsid w:val="008E36AA"/>
    <w:rsid w:val="008E58FA"/>
    <w:rsid w:val="008E62BB"/>
    <w:rsid w:val="008F0719"/>
    <w:rsid w:val="008F5731"/>
    <w:rsid w:val="008F65B9"/>
    <w:rsid w:val="00900127"/>
    <w:rsid w:val="00914317"/>
    <w:rsid w:val="0092551E"/>
    <w:rsid w:val="0092642A"/>
    <w:rsid w:val="00926D0D"/>
    <w:rsid w:val="0092724C"/>
    <w:rsid w:val="0093325A"/>
    <w:rsid w:val="00937A9D"/>
    <w:rsid w:val="009434A3"/>
    <w:rsid w:val="009454C5"/>
    <w:rsid w:val="00945E7B"/>
    <w:rsid w:val="00950B47"/>
    <w:rsid w:val="00956A29"/>
    <w:rsid w:val="0096034E"/>
    <w:rsid w:val="00960DE9"/>
    <w:rsid w:val="009625CD"/>
    <w:rsid w:val="009628FD"/>
    <w:rsid w:val="009643B6"/>
    <w:rsid w:val="00965866"/>
    <w:rsid w:val="00966303"/>
    <w:rsid w:val="00966652"/>
    <w:rsid w:val="00967842"/>
    <w:rsid w:val="009701A1"/>
    <w:rsid w:val="0097040C"/>
    <w:rsid w:val="0097131C"/>
    <w:rsid w:val="00974621"/>
    <w:rsid w:val="0098165C"/>
    <w:rsid w:val="00985619"/>
    <w:rsid w:val="009857A8"/>
    <w:rsid w:val="00987312"/>
    <w:rsid w:val="00987C91"/>
    <w:rsid w:val="00990C70"/>
    <w:rsid w:val="00991788"/>
    <w:rsid w:val="009A3567"/>
    <w:rsid w:val="009B48A9"/>
    <w:rsid w:val="009B4913"/>
    <w:rsid w:val="009C0A72"/>
    <w:rsid w:val="009C7167"/>
    <w:rsid w:val="009C7750"/>
    <w:rsid w:val="009D0AEC"/>
    <w:rsid w:val="009D1570"/>
    <w:rsid w:val="009D4312"/>
    <w:rsid w:val="009D5DA4"/>
    <w:rsid w:val="009D6B35"/>
    <w:rsid w:val="009E16C2"/>
    <w:rsid w:val="009E40DA"/>
    <w:rsid w:val="009E62E1"/>
    <w:rsid w:val="009F0470"/>
    <w:rsid w:val="00A01EF3"/>
    <w:rsid w:val="00A037A7"/>
    <w:rsid w:val="00A03D65"/>
    <w:rsid w:val="00A1022D"/>
    <w:rsid w:val="00A16562"/>
    <w:rsid w:val="00A1677C"/>
    <w:rsid w:val="00A215B2"/>
    <w:rsid w:val="00A21E34"/>
    <w:rsid w:val="00A2490F"/>
    <w:rsid w:val="00A32D19"/>
    <w:rsid w:val="00A35CB8"/>
    <w:rsid w:val="00A36166"/>
    <w:rsid w:val="00A47E15"/>
    <w:rsid w:val="00A504A0"/>
    <w:rsid w:val="00A50E8E"/>
    <w:rsid w:val="00A53FF2"/>
    <w:rsid w:val="00A55E6F"/>
    <w:rsid w:val="00A57FCE"/>
    <w:rsid w:val="00A60BC5"/>
    <w:rsid w:val="00A6573E"/>
    <w:rsid w:val="00A66ED2"/>
    <w:rsid w:val="00A72792"/>
    <w:rsid w:val="00A73292"/>
    <w:rsid w:val="00A75802"/>
    <w:rsid w:val="00A769E7"/>
    <w:rsid w:val="00A81618"/>
    <w:rsid w:val="00A8225F"/>
    <w:rsid w:val="00A83FC0"/>
    <w:rsid w:val="00A84C0B"/>
    <w:rsid w:val="00A95BC8"/>
    <w:rsid w:val="00AA13AE"/>
    <w:rsid w:val="00AA15BD"/>
    <w:rsid w:val="00AA21BF"/>
    <w:rsid w:val="00AA307B"/>
    <w:rsid w:val="00AA43B2"/>
    <w:rsid w:val="00AB0C72"/>
    <w:rsid w:val="00AB546E"/>
    <w:rsid w:val="00AB56A5"/>
    <w:rsid w:val="00AB65D6"/>
    <w:rsid w:val="00AB7880"/>
    <w:rsid w:val="00AC482F"/>
    <w:rsid w:val="00AD049C"/>
    <w:rsid w:val="00AD076E"/>
    <w:rsid w:val="00AD18B3"/>
    <w:rsid w:val="00AD2CCB"/>
    <w:rsid w:val="00AD3043"/>
    <w:rsid w:val="00AD4801"/>
    <w:rsid w:val="00AE08BC"/>
    <w:rsid w:val="00AE2165"/>
    <w:rsid w:val="00AE3A60"/>
    <w:rsid w:val="00AF01A0"/>
    <w:rsid w:val="00AF13DF"/>
    <w:rsid w:val="00AF30C4"/>
    <w:rsid w:val="00AF539E"/>
    <w:rsid w:val="00AF60DE"/>
    <w:rsid w:val="00AF73B6"/>
    <w:rsid w:val="00B1227B"/>
    <w:rsid w:val="00B1245D"/>
    <w:rsid w:val="00B13FA5"/>
    <w:rsid w:val="00B175BD"/>
    <w:rsid w:val="00B267D8"/>
    <w:rsid w:val="00B3130B"/>
    <w:rsid w:val="00B33216"/>
    <w:rsid w:val="00B339FB"/>
    <w:rsid w:val="00B373FD"/>
    <w:rsid w:val="00B42208"/>
    <w:rsid w:val="00B42343"/>
    <w:rsid w:val="00B47EDC"/>
    <w:rsid w:val="00B54D03"/>
    <w:rsid w:val="00B55891"/>
    <w:rsid w:val="00B56CFB"/>
    <w:rsid w:val="00B57ECF"/>
    <w:rsid w:val="00B61C8E"/>
    <w:rsid w:val="00B64611"/>
    <w:rsid w:val="00B6651F"/>
    <w:rsid w:val="00B726A2"/>
    <w:rsid w:val="00B72973"/>
    <w:rsid w:val="00B742A7"/>
    <w:rsid w:val="00B74C55"/>
    <w:rsid w:val="00B74FBC"/>
    <w:rsid w:val="00B77657"/>
    <w:rsid w:val="00B8280A"/>
    <w:rsid w:val="00B90B7A"/>
    <w:rsid w:val="00B94ACC"/>
    <w:rsid w:val="00BA14FF"/>
    <w:rsid w:val="00BA16AA"/>
    <w:rsid w:val="00BB0E6F"/>
    <w:rsid w:val="00BB1EFC"/>
    <w:rsid w:val="00BB47CA"/>
    <w:rsid w:val="00BB56FD"/>
    <w:rsid w:val="00BC1FBD"/>
    <w:rsid w:val="00BC296D"/>
    <w:rsid w:val="00BC4FAE"/>
    <w:rsid w:val="00BC65B1"/>
    <w:rsid w:val="00BC65D6"/>
    <w:rsid w:val="00BD4544"/>
    <w:rsid w:val="00BD69A5"/>
    <w:rsid w:val="00BE1961"/>
    <w:rsid w:val="00BE3CE5"/>
    <w:rsid w:val="00BE568E"/>
    <w:rsid w:val="00BE5CCC"/>
    <w:rsid w:val="00BF0157"/>
    <w:rsid w:val="00BF2F16"/>
    <w:rsid w:val="00BF61D8"/>
    <w:rsid w:val="00C02C13"/>
    <w:rsid w:val="00C0434E"/>
    <w:rsid w:val="00C079F1"/>
    <w:rsid w:val="00C2218A"/>
    <w:rsid w:val="00C267D6"/>
    <w:rsid w:val="00C30077"/>
    <w:rsid w:val="00C40B59"/>
    <w:rsid w:val="00C420BF"/>
    <w:rsid w:val="00C42C6D"/>
    <w:rsid w:val="00C42F43"/>
    <w:rsid w:val="00C441AB"/>
    <w:rsid w:val="00C46D98"/>
    <w:rsid w:val="00C55C2C"/>
    <w:rsid w:val="00C61B31"/>
    <w:rsid w:val="00C635FE"/>
    <w:rsid w:val="00C63A95"/>
    <w:rsid w:val="00C6440A"/>
    <w:rsid w:val="00C675F3"/>
    <w:rsid w:val="00C70062"/>
    <w:rsid w:val="00C73F52"/>
    <w:rsid w:val="00C747B6"/>
    <w:rsid w:val="00C778BC"/>
    <w:rsid w:val="00C809F0"/>
    <w:rsid w:val="00C836D8"/>
    <w:rsid w:val="00C85E26"/>
    <w:rsid w:val="00C91DA0"/>
    <w:rsid w:val="00C92114"/>
    <w:rsid w:val="00CA3720"/>
    <w:rsid w:val="00CA44F2"/>
    <w:rsid w:val="00CA56E4"/>
    <w:rsid w:val="00CB5035"/>
    <w:rsid w:val="00CC42F3"/>
    <w:rsid w:val="00CD32B1"/>
    <w:rsid w:val="00CD753D"/>
    <w:rsid w:val="00CE0511"/>
    <w:rsid w:val="00CE3E35"/>
    <w:rsid w:val="00CE7961"/>
    <w:rsid w:val="00CF0CA3"/>
    <w:rsid w:val="00CF22B6"/>
    <w:rsid w:val="00CF456B"/>
    <w:rsid w:val="00CF520B"/>
    <w:rsid w:val="00CF6964"/>
    <w:rsid w:val="00CF7847"/>
    <w:rsid w:val="00D15A16"/>
    <w:rsid w:val="00D15CC4"/>
    <w:rsid w:val="00D16F5C"/>
    <w:rsid w:val="00D17362"/>
    <w:rsid w:val="00D21648"/>
    <w:rsid w:val="00D240F5"/>
    <w:rsid w:val="00D2567D"/>
    <w:rsid w:val="00D3260B"/>
    <w:rsid w:val="00D34639"/>
    <w:rsid w:val="00D35BC7"/>
    <w:rsid w:val="00D40A5E"/>
    <w:rsid w:val="00D4707C"/>
    <w:rsid w:val="00D516AA"/>
    <w:rsid w:val="00D5220C"/>
    <w:rsid w:val="00D52502"/>
    <w:rsid w:val="00D54720"/>
    <w:rsid w:val="00D554C4"/>
    <w:rsid w:val="00D55A8D"/>
    <w:rsid w:val="00D55AE1"/>
    <w:rsid w:val="00D56A89"/>
    <w:rsid w:val="00D56C79"/>
    <w:rsid w:val="00D56E58"/>
    <w:rsid w:val="00D61D9B"/>
    <w:rsid w:val="00D65DAD"/>
    <w:rsid w:val="00D73AE1"/>
    <w:rsid w:val="00D73BA7"/>
    <w:rsid w:val="00D74DB5"/>
    <w:rsid w:val="00D76A67"/>
    <w:rsid w:val="00D80F6B"/>
    <w:rsid w:val="00D819EC"/>
    <w:rsid w:val="00D8442A"/>
    <w:rsid w:val="00D870FF"/>
    <w:rsid w:val="00D91100"/>
    <w:rsid w:val="00D966E4"/>
    <w:rsid w:val="00D97215"/>
    <w:rsid w:val="00DA095E"/>
    <w:rsid w:val="00DA138B"/>
    <w:rsid w:val="00DA2B16"/>
    <w:rsid w:val="00DA3A99"/>
    <w:rsid w:val="00DA4688"/>
    <w:rsid w:val="00DA468A"/>
    <w:rsid w:val="00DA755C"/>
    <w:rsid w:val="00DB116A"/>
    <w:rsid w:val="00DB1552"/>
    <w:rsid w:val="00DB2362"/>
    <w:rsid w:val="00DB58C1"/>
    <w:rsid w:val="00DB79C8"/>
    <w:rsid w:val="00DB7DEF"/>
    <w:rsid w:val="00DC0F0E"/>
    <w:rsid w:val="00DC1A10"/>
    <w:rsid w:val="00DC1D3D"/>
    <w:rsid w:val="00DC3913"/>
    <w:rsid w:val="00DC3A7D"/>
    <w:rsid w:val="00DC4C56"/>
    <w:rsid w:val="00DD3357"/>
    <w:rsid w:val="00DD419E"/>
    <w:rsid w:val="00DD4B0D"/>
    <w:rsid w:val="00DD74D6"/>
    <w:rsid w:val="00DE0100"/>
    <w:rsid w:val="00DE1221"/>
    <w:rsid w:val="00DE17E9"/>
    <w:rsid w:val="00DE7C99"/>
    <w:rsid w:val="00DF02E7"/>
    <w:rsid w:val="00DF3806"/>
    <w:rsid w:val="00DF5332"/>
    <w:rsid w:val="00DF7409"/>
    <w:rsid w:val="00E04927"/>
    <w:rsid w:val="00E12BC3"/>
    <w:rsid w:val="00E174A5"/>
    <w:rsid w:val="00E21870"/>
    <w:rsid w:val="00E250BD"/>
    <w:rsid w:val="00E26AC1"/>
    <w:rsid w:val="00E32C49"/>
    <w:rsid w:val="00E335B0"/>
    <w:rsid w:val="00E33A7B"/>
    <w:rsid w:val="00E36E02"/>
    <w:rsid w:val="00E37B63"/>
    <w:rsid w:val="00E41537"/>
    <w:rsid w:val="00E42AE0"/>
    <w:rsid w:val="00E43159"/>
    <w:rsid w:val="00E43AD4"/>
    <w:rsid w:val="00E51317"/>
    <w:rsid w:val="00E55799"/>
    <w:rsid w:val="00E56FDA"/>
    <w:rsid w:val="00E606DB"/>
    <w:rsid w:val="00E73695"/>
    <w:rsid w:val="00E74C10"/>
    <w:rsid w:val="00E7646E"/>
    <w:rsid w:val="00E80911"/>
    <w:rsid w:val="00E82F15"/>
    <w:rsid w:val="00E91844"/>
    <w:rsid w:val="00E954D2"/>
    <w:rsid w:val="00EA0DFF"/>
    <w:rsid w:val="00EA1E6E"/>
    <w:rsid w:val="00EA2105"/>
    <w:rsid w:val="00EB05A0"/>
    <w:rsid w:val="00EB16E8"/>
    <w:rsid w:val="00EB3BBF"/>
    <w:rsid w:val="00EB4E1C"/>
    <w:rsid w:val="00EB5FA8"/>
    <w:rsid w:val="00EC312A"/>
    <w:rsid w:val="00EC3A04"/>
    <w:rsid w:val="00EC76DE"/>
    <w:rsid w:val="00ED1111"/>
    <w:rsid w:val="00ED157D"/>
    <w:rsid w:val="00ED30F7"/>
    <w:rsid w:val="00ED3DE9"/>
    <w:rsid w:val="00EE04B7"/>
    <w:rsid w:val="00EE269C"/>
    <w:rsid w:val="00EE2803"/>
    <w:rsid w:val="00EE76B6"/>
    <w:rsid w:val="00EF1E28"/>
    <w:rsid w:val="00EF33B8"/>
    <w:rsid w:val="00EF4054"/>
    <w:rsid w:val="00EF6773"/>
    <w:rsid w:val="00F03216"/>
    <w:rsid w:val="00F04465"/>
    <w:rsid w:val="00F04D4E"/>
    <w:rsid w:val="00F1335C"/>
    <w:rsid w:val="00F1382B"/>
    <w:rsid w:val="00F16448"/>
    <w:rsid w:val="00F16F7D"/>
    <w:rsid w:val="00F21F4B"/>
    <w:rsid w:val="00F26E14"/>
    <w:rsid w:val="00F275D7"/>
    <w:rsid w:val="00F30101"/>
    <w:rsid w:val="00F31E4D"/>
    <w:rsid w:val="00F3416F"/>
    <w:rsid w:val="00F36180"/>
    <w:rsid w:val="00F370FA"/>
    <w:rsid w:val="00F4294E"/>
    <w:rsid w:val="00F42CD5"/>
    <w:rsid w:val="00F4547E"/>
    <w:rsid w:val="00F502B3"/>
    <w:rsid w:val="00F53F2C"/>
    <w:rsid w:val="00F5492D"/>
    <w:rsid w:val="00F55073"/>
    <w:rsid w:val="00F56151"/>
    <w:rsid w:val="00F567E9"/>
    <w:rsid w:val="00F56D80"/>
    <w:rsid w:val="00F66652"/>
    <w:rsid w:val="00F67F40"/>
    <w:rsid w:val="00F72493"/>
    <w:rsid w:val="00F72524"/>
    <w:rsid w:val="00F74CBE"/>
    <w:rsid w:val="00F755C7"/>
    <w:rsid w:val="00F75D63"/>
    <w:rsid w:val="00F76FE1"/>
    <w:rsid w:val="00FA1E25"/>
    <w:rsid w:val="00FA2ACC"/>
    <w:rsid w:val="00FA398B"/>
    <w:rsid w:val="00FA3AE3"/>
    <w:rsid w:val="00FA3BB9"/>
    <w:rsid w:val="00FB2FD4"/>
    <w:rsid w:val="00FB7601"/>
    <w:rsid w:val="00FB78CB"/>
    <w:rsid w:val="00FC0D8E"/>
    <w:rsid w:val="00FC6B91"/>
    <w:rsid w:val="00FD4B21"/>
    <w:rsid w:val="00FD5047"/>
    <w:rsid w:val="00FD713A"/>
    <w:rsid w:val="00FD71A8"/>
    <w:rsid w:val="00FE7FCD"/>
    <w:rsid w:val="00FF4BF4"/>
    <w:rsid w:val="00FF6207"/>
    <w:rsid w:val="01000BCA"/>
    <w:rsid w:val="013E4915"/>
    <w:rsid w:val="021F4B56"/>
    <w:rsid w:val="02661E94"/>
    <w:rsid w:val="02ED6955"/>
    <w:rsid w:val="03152BA7"/>
    <w:rsid w:val="038218DD"/>
    <w:rsid w:val="03E9345A"/>
    <w:rsid w:val="04230AD7"/>
    <w:rsid w:val="044D49F4"/>
    <w:rsid w:val="05A007F6"/>
    <w:rsid w:val="065179EB"/>
    <w:rsid w:val="0730615B"/>
    <w:rsid w:val="07481B68"/>
    <w:rsid w:val="08232A17"/>
    <w:rsid w:val="083C0963"/>
    <w:rsid w:val="0A812EDD"/>
    <w:rsid w:val="0C012A8B"/>
    <w:rsid w:val="0C8470DB"/>
    <w:rsid w:val="0D9131F2"/>
    <w:rsid w:val="0DD264D9"/>
    <w:rsid w:val="0E057194"/>
    <w:rsid w:val="0E8E0587"/>
    <w:rsid w:val="0E9274E4"/>
    <w:rsid w:val="0FCE5AB7"/>
    <w:rsid w:val="100B068B"/>
    <w:rsid w:val="10402C36"/>
    <w:rsid w:val="10567156"/>
    <w:rsid w:val="109A0068"/>
    <w:rsid w:val="109B4471"/>
    <w:rsid w:val="112528C9"/>
    <w:rsid w:val="11A52DDC"/>
    <w:rsid w:val="123131A0"/>
    <w:rsid w:val="12A61726"/>
    <w:rsid w:val="136B4D8C"/>
    <w:rsid w:val="13C60555"/>
    <w:rsid w:val="13F34590"/>
    <w:rsid w:val="141234B9"/>
    <w:rsid w:val="1436290E"/>
    <w:rsid w:val="168854E8"/>
    <w:rsid w:val="16F94578"/>
    <w:rsid w:val="17771CBB"/>
    <w:rsid w:val="17AD2914"/>
    <w:rsid w:val="18153CE9"/>
    <w:rsid w:val="184930DB"/>
    <w:rsid w:val="19550115"/>
    <w:rsid w:val="1A941455"/>
    <w:rsid w:val="1AEC4CFD"/>
    <w:rsid w:val="1AEE1FE1"/>
    <w:rsid w:val="1AFC0A88"/>
    <w:rsid w:val="1B3B1B1A"/>
    <w:rsid w:val="1C0619F1"/>
    <w:rsid w:val="1E2D4C7B"/>
    <w:rsid w:val="1F163070"/>
    <w:rsid w:val="1FC35DD8"/>
    <w:rsid w:val="20364066"/>
    <w:rsid w:val="211F0CC3"/>
    <w:rsid w:val="215441C1"/>
    <w:rsid w:val="21621621"/>
    <w:rsid w:val="217177D3"/>
    <w:rsid w:val="227C7DB6"/>
    <w:rsid w:val="22E66CEF"/>
    <w:rsid w:val="231F66DA"/>
    <w:rsid w:val="232E22CB"/>
    <w:rsid w:val="239575E6"/>
    <w:rsid w:val="23D24A04"/>
    <w:rsid w:val="249C0E86"/>
    <w:rsid w:val="24BF1AC6"/>
    <w:rsid w:val="24CC4C88"/>
    <w:rsid w:val="24DA2CE1"/>
    <w:rsid w:val="258A2DEA"/>
    <w:rsid w:val="25EC47F6"/>
    <w:rsid w:val="26A52FAD"/>
    <w:rsid w:val="26A92428"/>
    <w:rsid w:val="27976C76"/>
    <w:rsid w:val="283619B3"/>
    <w:rsid w:val="284F5283"/>
    <w:rsid w:val="290F208E"/>
    <w:rsid w:val="29140CD8"/>
    <w:rsid w:val="299E222F"/>
    <w:rsid w:val="29D6588C"/>
    <w:rsid w:val="29F20027"/>
    <w:rsid w:val="2A180E73"/>
    <w:rsid w:val="2AD5355F"/>
    <w:rsid w:val="2B9332FB"/>
    <w:rsid w:val="2C2220D9"/>
    <w:rsid w:val="2C5F0A3F"/>
    <w:rsid w:val="2EDA313F"/>
    <w:rsid w:val="2F02672D"/>
    <w:rsid w:val="30182170"/>
    <w:rsid w:val="30185288"/>
    <w:rsid w:val="31B5546A"/>
    <w:rsid w:val="31E73EF7"/>
    <w:rsid w:val="32EA0830"/>
    <w:rsid w:val="3381539A"/>
    <w:rsid w:val="34046632"/>
    <w:rsid w:val="346F1F9E"/>
    <w:rsid w:val="34B74619"/>
    <w:rsid w:val="34EE0F0E"/>
    <w:rsid w:val="35505FBC"/>
    <w:rsid w:val="358B389F"/>
    <w:rsid w:val="382A413F"/>
    <w:rsid w:val="388C21C5"/>
    <w:rsid w:val="393326BE"/>
    <w:rsid w:val="3962445C"/>
    <w:rsid w:val="396C1758"/>
    <w:rsid w:val="3A2623E5"/>
    <w:rsid w:val="3A60588A"/>
    <w:rsid w:val="3A930FF1"/>
    <w:rsid w:val="3AE80DF1"/>
    <w:rsid w:val="3B8D0D78"/>
    <w:rsid w:val="3BFE10C5"/>
    <w:rsid w:val="3CB52527"/>
    <w:rsid w:val="3CEA1BC2"/>
    <w:rsid w:val="3CF55228"/>
    <w:rsid w:val="3D3F7287"/>
    <w:rsid w:val="3D6329D3"/>
    <w:rsid w:val="3D8F6916"/>
    <w:rsid w:val="3E500D27"/>
    <w:rsid w:val="3F5D194E"/>
    <w:rsid w:val="3F5D74B6"/>
    <w:rsid w:val="3FD80B53"/>
    <w:rsid w:val="40204729"/>
    <w:rsid w:val="40653E75"/>
    <w:rsid w:val="408015FB"/>
    <w:rsid w:val="40927090"/>
    <w:rsid w:val="40E0492C"/>
    <w:rsid w:val="4181476A"/>
    <w:rsid w:val="43701927"/>
    <w:rsid w:val="44230592"/>
    <w:rsid w:val="44EA3184"/>
    <w:rsid w:val="45060BEE"/>
    <w:rsid w:val="45765517"/>
    <w:rsid w:val="458D0AB3"/>
    <w:rsid w:val="46A21836"/>
    <w:rsid w:val="46A92B0D"/>
    <w:rsid w:val="47105342"/>
    <w:rsid w:val="487D4E0F"/>
    <w:rsid w:val="49C9106B"/>
    <w:rsid w:val="4AFD66AD"/>
    <w:rsid w:val="4AFF0271"/>
    <w:rsid w:val="4B0A7A2F"/>
    <w:rsid w:val="4B2E1428"/>
    <w:rsid w:val="4B32540A"/>
    <w:rsid w:val="4BC15012"/>
    <w:rsid w:val="4C477DB0"/>
    <w:rsid w:val="4CDE25A7"/>
    <w:rsid w:val="4D4D0D57"/>
    <w:rsid w:val="4D655F81"/>
    <w:rsid w:val="4ECB1D0F"/>
    <w:rsid w:val="4F082F58"/>
    <w:rsid w:val="4F0C457B"/>
    <w:rsid w:val="4F0D0F92"/>
    <w:rsid w:val="4F202F4B"/>
    <w:rsid w:val="4F471CCA"/>
    <w:rsid w:val="4F770533"/>
    <w:rsid w:val="4F9811E5"/>
    <w:rsid w:val="4FAE42A7"/>
    <w:rsid w:val="50100A8E"/>
    <w:rsid w:val="50850D04"/>
    <w:rsid w:val="52736F12"/>
    <w:rsid w:val="52DD3450"/>
    <w:rsid w:val="536F3880"/>
    <w:rsid w:val="54206E3B"/>
    <w:rsid w:val="54E96107"/>
    <w:rsid w:val="54FA26B0"/>
    <w:rsid w:val="55645350"/>
    <w:rsid w:val="55A62B70"/>
    <w:rsid w:val="561224E0"/>
    <w:rsid w:val="56242005"/>
    <w:rsid w:val="565D3B8A"/>
    <w:rsid w:val="57AD7833"/>
    <w:rsid w:val="57D865ED"/>
    <w:rsid w:val="57DA5FF0"/>
    <w:rsid w:val="580746F5"/>
    <w:rsid w:val="58610B16"/>
    <w:rsid w:val="58944D1D"/>
    <w:rsid w:val="59424C9F"/>
    <w:rsid w:val="5A1A070F"/>
    <w:rsid w:val="5A292701"/>
    <w:rsid w:val="5AA220B4"/>
    <w:rsid w:val="5BB963C3"/>
    <w:rsid w:val="5BD735D5"/>
    <w:rsid w:val="5D0E24F3"/>
    <w:rsid w:val="5D2D3835"/>
    <w:rsid w:val="5E3E3CF0"/>
    <w:rsid w:val="600B4642"/>
    <w:rsid w:val="603514E5"/>
    <w:rsid w:val="60380F00"/>
    <w:rsid w:val="60963623"/>
    <w:rsid w:val="61D51E5B"/>
    <w:rsid w:val="64DF5AD9"/>
    <w:rsid w:val="65023914"/>
    <w:rsid w:val="6540703B"/>
    <w:rsid w:val="65BC41E6"/>
    <w:rsid w:val="65C60E87"/>
    <w:rsid w:val="661D3B8C"/>
    <w:rsid w:val="665B4D56"/>
    <w:rsid w:val="66C5490D"/>
    <w:rsid w:val="67437CBA"/>
    <w:rsid w:val="67572F6C"/>
    <w:rsid w:val="68FA3E26"/>
    <w:rsid w:val="6918727F"/>
    <w:rsid w:val="69487250"/>
    <w:rsid w:val="6A261DA6"/>
    <w:rsid w:val="6AD5562C"/>
    <w:rsid w:val="6B2523D9"/>
    <w:rsid w:val="6B302F5B"/>
    <w:rsid w:val="6BC16C55"/>
    <w:rsid w:val="6C5B710E"/>
    <w:rsid w:val="6C967FE1"/>
    <w:rsid w:val="6CC95EE5"/>
    <w:rsid w:val="6CFE0E89"/>
    <w:rsid w:val="6DC316F5"/>
    <w:rsid w:val="6ED75CA4"/>
    <w:rsid w:val="6F2C3921"/>
    <w:rsid w:val="6FBA6B38"/>
    <w:rsid w:val="6FD1701C"/>
    <w:rsid w:val="707A1575"/>
    <w:rsid w:val="70D94D2C"/>
    <w:rsid w:val="729D7344"/>
    <w:rsid w:val="73370101"/>
    <w:rsid w:val="73EF6A96"/>
    <w:rsid w:val="746D3E62"/>
    <w:rsid w:val="746F58E1"/>
    <w:rsid w:val="748039FE"/>
    <w:rsid w:val="75715141"/>
    <w:rsid w:val="75B71736"/>
    <w:rsid w:val="75C431D1"/>
    <w:rsid w:val="76213A9E"/>
    <w:rsid w:val="77DB415B"/>
    <w:rsid w:val="78867AB2"/>
    <w:rsid w:val="78FB309C"/>
    <w:rsid w:val="79646E59"/>
    <w:rsid w:val="79E2307A"/>
    <w:rsid w:val="7A091B37"/>
    <w:rsid w:val="7AF02A9E"/>
    <w:rsid w:val="7BA656B8"/>
    <w:rsid w:val="7BB51BEE"/>
    <w:rsid w:val="7BBA783D"/>
    <w:rsid w:val="7C7F66BB"/>
    <w:rsid w:val="7D3A3669"/>
    <w:rsid w:val="7D697A68"/>
    <w:rsid w:val="7D895E02"/>
    <w:rsid w:val="7EF82E56"/>
    <w:rsid w:val="7F2B5CF9"/>
    <w:rsid w:val="7F332188"/>
    <w:rsid w:val="7F637BB3"/>
    <w:rsid w:val="7F741DC0"/>
    <w:rsid w:val="7FD258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iPriority="99" w:name="Closing"/>
    <w:lsdException w:qFormat="1" w:unhideWhenUsed="0" w:uiPriority="0" w:semiHidden="0" w:name="Signature"/>
    <w:lsdException w:qFormat="1" w:uiPriority="1" w:semiHidden="0"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name="Body Text First Indent"/>
    <w:lsdException w:qFormat="1" w:uiPriority="99"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nhideWhenUsed="0" w:uiPriority="0" w:semiHidden="0" w:name="HTML Code"/>
    <w:lsdException w:qFormat="1" w:unhideWhenUsed="0" w:uiPriority="0" w:semiHidden="0" w:name="HTML Definition"/>
    <w:lsdException w:uiPriority="99" w:name="HTML Keyboard"/>
    <w:lsdException w:qFormat="1" w:unhideWhenUsed="0" w:uiPriority="0" w:semiHidden="0" w:name="HTML Preformatted"/>
    <w:lsdException w:uiPriority="99" w:name="HTML Sample"/>
    <w:lsdException w:qFormat="1" w:unhideWhenUsed="0" w:uiPriority="0" w:semiHidden="0"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0"/>
    <w:autoRedefine/>
    <w:qFormat/>
    <w:uiPriority w:val="0"/>
    <w:pPr>
      <w:keepNext/>
      <w:jc w:val="center"/>
      <w:outlineLvl w:val="0"/>
    </w:pPr>
    <w:rPr>
      <w:sz w:val="28"/>
      <w:szCs w:val="20"/>
    </w:rPr>
  </w:style>
  <w:style w:type="paragraph" w:styleId="3">
    <w:name w:val="heading 2"/>
    <w:basedOn w:val="1"/>
    <w:next w:val="1"/>
    <w:link w:val="110"/>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112"/>
    <w:autoRedefine/>
    <w:qFormat/>
    <w:uiPriority w:val="0"/>
    <w:pPr>
      <w:keepNext/>
      <w:keepLines/>
      <w:spacing w:before="260" w:after="260" w:line="416" w:lineRule="auto"/>
      <w:jc w:val="center"/>
      <w:outlineLvl w:val="2"/>
    </w:pPr>
    <w:rPr>
      <w:b/>
      <w:bCs/>
      <w:szCs w:val="21"/>
    </w:rPr>
  </w:style>
  <w:style w:type="paragraph" w:styleId="5">
    <w:name w:val="heading 4"/>
    <w:basedOn w:val="1"/>
    <w:next w:val="1"/>
    <w:link w:val="113"/>
    <w:autoRedefine/>
    <w:qFormat/>
    <w:uiPriority w:val="0"/>
    <w:pPr>
      <w:keepNext/>
      <w:keepLines/>
      <w:outlineLvl w:val="3"/>
    </w:pPr>
    <w:rPr>
      <w:rFonts w:ascii="宋体" w:hAnsi="宋体"/>
      <w:b/>
      <w:bCs/>
      <w:sz w:val="28"/>
      <w:szCs w:val="28"/>
    </w:rPr>
  </w:style>
  <w:style w:type="paragraph" w:styleId="6">
    <w:name w:val="heading 5"/>
    <w:basedOn w:val="1"/>
    <w:next w:val="1"/>
    <w:link w:val="114"/>
    <w:autoRedefine/>
    <w:qFormat/>
    <w:uiPriority w:val="0"/>
    <w:pPr>
      <w:keepNext/>
      <w:keepLines/>
      <w:spacing w:before="280" w:after="290" w:line="376" w:lineRule="auto"/>
      <w:outlineLvl w:val="4"/>
    </w:pPr>
    <w:rPr>
      <w:b/>
      <w:bCs/>
      <w:sz w:val="28"/>
      <w:szCs w:val="28"/>
    </w:rPr>
  </w:style>
  <w:style w:type="paragraph" w:styleId="7">
    <w:name w:val="heading 6"/>
    <w:basedOn w:val="1"/>
    <w:next w:val="1"/>
    <w:link w:val="115"/>
    <w:autoRedefine/>
    <w:qFormat/>
    <w:uiPriority w:val="0"/>
    <w:pPr>
      <w:keepNext/>
      <w:keepLines/>
      <w:spacing w:before="240" w:after="64" w:line="320" w:lineRule="auto"/>
      <w:outlineLvl w:val="5"/>
    </w:pPr>
    <w:rPr>
      <w:rFonts w:ascii="Cambria" w:hAnsi="Cambria"/>
      <w:b/>
      <w:bCs/>
      <w:sz w:val="24"/>
    </w:rPr>
  </w:style>
  <w:style w:type="paragraph" w:styleId="8">
    <w:name w:val="heading 7"/>
    <w:basedOn w:val="1"/>
    <w:next w:val="1"/>
    <w:link w:val="116"/>
    <w:autoRedefine/>
    <w:qFormat/>
    <w:uiPriority w:val="0"/>
    <w:pPr>
      <w:keepNext/>
      <w:keepLines/>
      <w:spacing w:before="240" w:after="64" w:line="320" w:lineRule="auto"/>
      <w:ind w:firstLine="200" w:firstLineChars="200"/>
      <w:outlineLvl w:val="6"/>
    </w:pPr>
    <w:rPr>
      <w:b/>
      <w:bCs/>
      <w:sz w:val="24"/>
    </w:rPr>
  </w:style>
  <w:style w:type="paragraph" w:styleId="9">
    <w:name w:val="heading 8"/>
    <w:basedOn w:val="1"/>
    <w:next w:val="10"/>
    <w:link w:val="117"/>
    <w:autoRedefine/>
    <w:qFormat/>
    <w:uiPriority w:val="0"/>
    <w:pPr>
      <w:autoSpaceDE w:val="0"/>
      <w:autoSpaceDN w:val="0"/>
      <w:adjustRightInd w:val="0"/>
      <w:spacing w:before="200" w:after="200" w:line="315" w:lineRule="atLeast"/>
      <w:ind w:firstLine="459"/>
      <w:jc w:val="left"/>
      <w:textAlignment w:val="baseline"/>
      <w:outlineLvl w:val="7"/>
    </w:pPr>
    <w:rPr>
      <w:rFonts w:ascii="黑体" w:hAnsi="Tms Rmn" w:eastAsia="黑体"/>
      <w:spacing w:val="10"/>
      <w:kern w:val="0"/>
      <w:sz w:val="28"/>
      <w:szCs w:val="20"/>
    </w:rPr>
  </w:style>
  <w:style w:type="paragraph" w:styleId="11">
    <w:name w:val="heading 9"/>
    <w:basedOn w:val="1"/>
    <w:next w:val="10"/>
    <w:link w:val="119"/>
    <w:autoRedefine/>
    <w:qFormat/>
    <w:uiPriority w:val="0"/>
    <w:pPr>
      <w:autoSpaceDE w:val="0"/>
      <w:autoSpaceDN w:val="0"/>
      <w:adjustRightInd w:val="0"/>
      <w:spacing w:before="200" w:after="200" w:line="315" w:lineRule="atLeast"/>
      <w:ind w:firstLine="459"/>
      <w:jc w:val="left"/>
      <w:textAlignment w:val="baseline"/>
      <w:outlineLvl w:val="8"/>
    </w:pPr>
    <w:rPr>
      <w:rFonts w:ascii="黑体" w:hAnsi="Tms Rmn" w:eastAsia="黑体"/>
      <w:spacing w:val="10"/>
      <w:kern w:val="0"/>
      <w:sz w:val="28"/>
      <w:szCs w:val="20"/>
    </w:rPr>
  </w:style>
  <w:style w:type="character" w:default="1" w:styleId="77">
    <w:name w:val="Default Paragraph Font"/>
    <w:unhideWhenUsed/>
    <w:qFormat/>
    <w:uiPriority w:val="1"/>
  </w:style>
  <w:style w:type="table" w:default="1" w:styleId="75">
    <w:name w:val="Normal Table"/>
    <w:semiHidden/>
    <w:unhideWhenUsed/>
    <w:qFormat/>
    <w:uiPriority w:val="99"/>
    <w:tblPr>
      <w:tblCellMar>
        <w:top w:w="0" w:type="dxa"/>
        <w:left w:w="108" w:type="dxa"/>
        <w:bottom w:w="0" w:type="dxa"/>
        <w:right w:w="108" w:type="dxa"/>
      </w:tblCellMar>
    </w:tblPr>
  </w:style>
  <w:style w:type="paragraph" w:styleId="10">
    <w:name w:val="Normal Indent"/>
    <w:basedOn w:val="1"/>
    <w:link w:val="118"/>
    <w:autoRedefine/>
    <w:qFormat/>
    <w:uiPriority w:val="0"/>
    <w:pPr>
      <w:ind w:firstLine="420" w:firstLineChars="200"/>
    </w:pPr>
    <w:rPr>
      <w:b/>
      <w:bCs/>
    </w:rPr>
  </w:style>
  <w:style w:type="paragraph" w:styleId="12">
    <w:name w:val="List 3"/>
    <w:basedOn w:val="13"/>
    <w:autoRedefine/>
    <w:qFormat/>
    <w:uiPriority w:val="0"/>
    <w:pPr>
      <w:widowControl/>
      <w:tabs>
        <w:tab w:val="left" w:pos="1440"/>
      </w:tabs>
      <w:spacing w:before="120" w:after="80"/>
      <w:ind w:left="1440" w:right="274" w:hanging="360" w:firstLineChars="0"/>
    </w:pPr>
    <w:rPr>
      <w:rFonts w:ascii="Univers" w:hAnsi="Univers" w:eastAsia="MS Mincho"/>
      <w:kern w:val="0"/>
      <w:sz w:val="22"/>
      <w:szCs w:val="20"/>
      <w:lang w:val="en-GB" w:eastAsia="ja-JP"/>
    </w:rPr>
  </w:style>
  <w:style w:type="paragraph" w:styleId="13">
    <w:name w:val="List"/>
    <w:basedOn w:val="1"/>
    <w:autoRedefine/>
    <w:qFormat/>
    <w:uiPriority w:val="0"/>
    <w:pPr>
      <w:ind w:left="200" w:hanging="200" w:hangingChars="200"/>
    </w:pPr>
    <w:rPr>
      <w:szCs w:val="21"/>
    </w:rPr>
  </w:style>
  <w:style w:type="paragraph" w:styleId="14">
    <w:name w:val="List Number 2"/>
    <w:basedOn w:val="1"/>
    <w:autoRedefine/>
    <w:qFormat/>
    <w:uiPriority w:val="0"/>
    <w:pPr>
      <w:numPr>
        <w:ilvl w:val="0"/>
        <w:numId w:val="1"/>
      </w:numPr>
      <w:tabs>
        <w:tab w:val="left" w:pos="780"/>
      </w:tabs>
      <w:spacing w:line="360" w:lineRule="auto"/>
    </w:pPr>
    <w:rPr>
      <w:spacing w:val="10"/>
      <w:szCs w:val="20"/>
    </w:rPr>
  </w:style>
  <w:style w:type="paragraph" w:styleId="15">
    <w:name w:val="Note Heading"/>
    <w:basedOn w:val="1"/>
    <w:next w:val="1"/>
    <w:link w:val="121"/>
    <w:autoRedefine/>
    <w:qFormat/>
    <w:uiPriority w:val="0"/>
    <w:pPr>
      <w:spacing w:line="360" w:lineRule="auto"/>
      <w:ind w:firstLine="200" w:firstLineChars="200"/>
      <w:jc w:val="center"/>
    </w:pPr>
    <w:rPr>
      <w:rFonts w:ascii="Arial" w:hAnsi="Arial"/>
      <w:b/>
      <w:sz w:val="44"/>
      <w:szCs w:val="20"/>
    </w:rPr>
  </w:style>
  <w:style w:type="paragraph" w:styleId="16">
    <w:name w:val="List Bullet 4"/>
    <w:basedOn w:val="1"/>
    <w:autoRedefine/>
    <w:qFormat/>
    <w:uiPriority w:val="0"/>
    <w:pPr>
      <w:numPr>
        <w:ilvl w:val="0"/>
        <w:numId w:val="2"/>
      </w:numPr>
      <w:tabs>
        <w:tab w:val="left" w:pos="1620"/>
      </w:tabs>
      <w:spacing w:line="360" w:lineRule="auto"/>
    </w:pPr>
    <w:rPr>
      <w:spacing w:val="10"/>
      <w:szCs w:val="20"/>
    </w:rPr>
  </w:style>
  <w:style w:type="paragraph" w:styleId="17">
    <w:name w:val="index 8"/>
    <w:basedOn w:val="1"/>
    <w:next w:val="1"/>
    <w:autoRedefine/>
    <w:qFormat/>
    <w:uiPriority w:val="0"/>
    <w:pPr>
      <w:widowControl/>
      <w:tabs>
        <w:tab w:val="right" w:pos="2985"/>
      </w:tabs>
      <w:overflowPunct w:val="0"/>
      <w:autoSpaceDE w:val="0"/>
      <w:autoSpaceDN w:val="0"/>
      <w:adjustRightInd w:val="0"/>
      <w:ind w:left="1600" w:hanging="200"/>
      <w:jc w:val="left"/>
      <w:textAlignment w:val="baseline"/>
    </w:pPr>
    <w:rPr>
      <w:kern w:val="0"/>
      <w:sz w:val="18"/>
      <w:szCs w:val="20"/>
      <w:lang w:val="en-GB" w:eastAsia="en-US"/>
    </w:rPr>
  </w:style>
  <w:style w:type="paragraph" w:styleId="18">
    <w:name w:val="List Number"/>
    <w:basedOn w:val="1"/>
    <w:autoRedefine/>
    <w:qFormat/>
    <w:uiPriority w:val="0"/>
    <w:pPr>
      <w:numPr>
        <w:ilvl w:val="0"/>
        <w:numId w:val="3"/>
      </w:numPr>
      <w:tabs>
        <w:tab w:val="left" w:pos="360"/>
      </w:tabs>
      <w:spacing w:line="360" w:lineRule="auto"/>
    </w:pPr>
    <w:rPr>
      <w:spacing w:val="10"/>
      <w:szCs w:val="20"/>
    </w:rPr>
  </w:style>
  <w:style w:type="paragraph" w:styleId="19">
    <w:name w:val="caption"/>
    <w:basedOn w:val="1"/>
    <w:next w:val="1"/>
    <w:autoRedefine/>
    <w:qFormat/>
    <w:uiPriority w:val="0"/>
    <w:pPr>
      <w:spacing w:before="120" w:after="120" w:line="360" w:lineRule="auto"/>
      <w:ind w:firstLine="459"/>
    </w:pPr>
    <w:rPr>
      <w:rFonts w:ascii="Arial" w:hAnsi="Arial"/>
      <w:b/>
      <w:spacing w:val="10"/>
      <w:kern w:val="0"/>
      <w:sz w:val="20"/>
      <w:szCs w:val="20"/>
    </w:rPr>
  </w:style>
  <w:style w:type="paragraph" w:styleId="20">
    <w:name w:val="index 5"/>
    <w:basedOn w:val="1"/>
    <w:next w:val="1"/>
    <w:autoRedefine/>
    <w:qFormat/>
    <w:uiPriority w:val="0"/>
    <w:pPr>
      <w:autoSpaceDE w:val="0"/>
      <w:autoSpaceDN w:val="0"/>
      <w:adjustRightInd w:val="0"/>
      <w:spacing w:line="315" w:lineRule="atLeast"/>
      <w:ind w:left="1680" w:firstLine="459"/>
      <w:jc w:val="left"/>
      <w:textAlignment w:val="baseline"/>
    </w:pPr>
    <w:rPr>
      <w:rFonts w:ascii="宋体" w:hAnsi="Tms Rmn"/>
      <w:spacing w:val="10"/>
      <w:kern w:val="0"/>
      <w:szCs w:val="20"/>
    </w:rPr>
  </w:style>
  <w:style w:type="paragraph" w:styleId="21">
    <w:name w:val="List Bullet"/>
    <w:basedOn w:val="1"/>
    <w:autoRedefine/>
    <w:qFormat/>
    <w:uiPriority w:val="0"/>
    <w:pPr>
      <w:numPr>
        <w:ilvl w:val="0"/>
        <w:numId w:val="4"/>
      </w:numPr>
      <w:spacing w:line="360" w:lineRule="auto"/>
    </w:pPr>
    <w:rPr>
      <w:spacing w:val="10"/>
      <w:szCs w:val="20"/>
    </w:rPr>
  </w:style>
  <w:style w:type="paragraph" w:styleId="22">
    <w:name w:val="Document Map"/>
    <w:basedOn w:val="1"/>
    <w:link w:val="123"/>
    <w:autoRedefine/>
    <w:semiHidden/>
    <w:qFormat/>
    <w:uiPriority w:val="0"/>
    <w:pPr>
      <w:shd w:val="clear" w:color="auto" w:fill="000080"/>
    </w:pPr>
  </w:style>
  <w:style w:type="paragraph" w:styleId="23">
    <w:name w:val="toa heading"/>
    <w:basedOn w:val="1"/>
    <w:next w:val="1"/>
    <w:autoRedefine/>
    <w:qFormat/>
    <w:uiPriority w:val="0"/>
    <w:pPr>
      <w:tabs>
        <w:tab w:val="right" w:pos="9360"/>
      </w:tabs>
      <w:suppressAutoHyphens/>
      <w:jc w:val="left"/>
    </w:pPr>
    <w:rPr>
      <w:rFonts w:ascii="Letter Gothic" w:hAnsi="Letter Gothic"/>
      <w:snapToGrid w:val="0"/>
      <w:kern w:val="0"/>
      <w:sz w:val="16"/>
      <w:szCs w:val="20"/>
      <w:lang w:eastAsia="en-US"/>
    </w:rPr>
  </w:style>
  <w:style w:type="paragraph" w:styleId="24">
    <w:name w:val="annotation text"/>
    <w:basedOn w:val="1"/>
    <w:link w:val="104"/>
    <w:autoRedefine/>
    <w:unhideWhenUsed/>
    <w:qFormat/>
    <w:uiPriority w:val="99"/>
    <w:pPr>
      <w:jc w:val="left"/>
    </w:pPr>
  </w:style>
  <w:style w:type="paragraph" w:styleId="25">
    <w:name w:val="index 6"/>
    <w:basedOn w:val="1"/>
    <w:next w:val="1"/>
    <w:autoRedefine/>
    <w:qFormat/>
    <w:uiPriority w:val="0"/>
    <w:pPr>
      <w:autoSpaceDE w:val="0"/>
      <w:autoSpaceDN w:val="0"/>
      <w:adjustRightInd w:val="0"/>
      <w:spacing w:line="315" w:lineRule="atLeast"/>
      <w:ind w:left="2100" w:firstLine="459"/>
      <w:jc w:val="left"/>
      <w:textAlignment w:val="baseline"/>
    </w:pPr>
    <w:rPr>
      <w:rFonts w:ascii="宋体" w:hAnsi="Tms Rmn"/>
      <w:spacing w:val="10"/>
      <w:kern w:val="0"/>
      <w:szCs w:val="20"/>
    </w:rPr>
  </w:style>
  <w:style w:type="paragraph" w:styleId="26">
    <w:name w:val="Salutation"/>
    <w:basedOn w:val="1"/>
    <w:next w:val="1"/>
    <w:link w:val="126"/>
    <w:autoRedefine/>
    <w:qFormat/>
    <w:uiPriority w:val="0"/>
    <w:pPr>
      <w:widowControl/>
      <w:spacing w:line="360" w:lineRule="auto"/>
      <w:ind w:firstLine="200" w:firstLineChars="200"/>
      <w:jc w:val="left"/>
    </w:pPr>
    <w:rPr>
      <w:kern w:val="0"/>
      <w:sz w:val="24"/>
      <w:szCs w:val="20"/>
    </w:rPr>
  </w:style>
  <w:style w:type="paragraph" w:styleId="27">
    <w:name w:val="Body Text 3"/>
    <w:basedOn w:val="1"/>
    <w:link w:val="128"/>
    <w:autoRedefine/>
    <w:qFormat/>
    <w:uiPriority w:val="0"/>
    <w:pPr>
      <w:widowControl/>
      <w:spacing w:after="120"/>
      <w:jc w:val="left"/>
    </w:pPr>
    <w:rPr>
      <w:kern w:val="0"/>
      <w:sz w:val="16"/>
      <w:szCs w:val="16"/>
    </w:rPr>
  </w:style>
  <w:style w:type="paragraph" w:styleId="28">
    <w:name w:val="List Bullet 3"/>
    <w:basedOn w:val="1"/>
    <w:autoRedefine/>
    <w:qFormat/>
    <w:uiPriority w:val="0"/>
    <w:pPr>
      <w:numPr>
        <w:ilvl w:val="0"/>
        <w:numId w:val="5"/>
      </w:numPr>
      <w:tabs>
        <w:tab w:val="left" w:pos="1200"/>
      </w:tabs>
      <w:spacing w:line="360" w:lineRule="auto"/>
    </w:pPr>
    <w:rPr>
      <w:spacing w:val="10"/>
      <w:szCs w:val="20"/>
    </w:rPr>
  </w:style>
  <w:style w:type="paragraph" w:styleId="29">
    <w:name w:val="Body Text"/>
    <w:basedOn w:val="1"/>
    <w:link w:val="101"/>
    <w:autoRedefine/>
    <w:unhideWhenUsed/>
    <w:qFormat/>
    <w:uiPriority w:val="0"/>
    <w:pPr>
      <w:spacing w:after="120"/>
    </w:pPr>
  </w:style>
  <w:style w:type="paragraph" w:styleId="30">
    <w:name w:val="Body Text Indent"/>
    <w:basedOn w:val="1"/>
    <w:link w:val="131"/>
    <w:autoRedefine/>
    <w:qFormat/>
    <w:uiPriority w:val="0"/>
    <w:pPr>
      <w:spacing w:after="120"/>
      <w:ind w:left="420" w:leftChars="200"/>
    </w:pPr>
    <w:rPr>
      <w:szCs w:val="21"/>
    </w:rPr>
  </w:style>
  <w:style w:type="paragraph" w:styleId="31">
    <w:name w:val="List Number 3"/>
    <w:basedOn w:val="1"/>
    <w:autoRedefine/>
    <w:qFormat/>
    <w:uiPriority w:val="0"/>
    <w:pPr>
      <w:numPr>
        <w:ilvl w:val="0"/>
        <w:numId w:val="6"/>
      </w:numPr>
      <w:spacing w:line="360" w:lineRule="auto"/>
    </w:pPr>
    <w:rPr>
      <w:spacing w:val="10"/>
      <w:szCs w:val="20"/>
    </w:rPr>
  </w:style>
  <w:style w:type="paragraph" w:styleId="32">
    <w:name w:val="List 2"/>
    <w:basedOn w:val="13"/>
    <w:autoRedefine/>
    <w:qFormat/>
    <w:uiPriority w:val="0"/>
    <w:pPr>
      <w:widowControl/>
      <w:tabs>
        <w:tab w:val="left" w:pos="1080"/>
      </w:tabs>
      <w:spacing w:before="120" w:after="80"/>
      <w:ind w:left="1080" w:right="274" w:hanging="360" w:firstLineChars="0"/>
    </w:pPr>
    <w:rPr>
      <w:rFonts w:ascii="Univers" w:hAnsi="Univers" w:eastAsia="MS Mincho"/>
      <w:kern w:val="0"/>
      <w:sz w:val="22"/>
      <w:szCs w:val="20"/>
      <w:lang w:val="en-GB" w:eastAsia="ja-JP"/>
    </w:rPr>
  </w:style>
  <w:style w:type="paragraph" w:styleId="33">
    <w:name w:val="List Continue"/>
    <w:basedOn w:val="13"/>
    <w:autoRedefine/>
    <w:qFormat/>
    <w:uiPriority w:val="0"/>
    <w:pPr>
      <w:widowControl/>
      <w:spacing w:before="120" w:after="160"/>
      <w:ind w:left="720" w:right="274" w:hanging="360" w:firstLineChars="0"/>
    </w:pPr>
    <w:rPr>
      <w:rFonts w:ascii="Univers" w:hAnsi="Univers" w:eastAsia="MS Mincho"/>
      <w:kern w:val="0"/>
      <w:sz w:val="22"/>
      <w:szCs w:val="20"/>
      <w:lang w:val="en-GB" w:eastAsia="ja-JP"/>
    </w:rPr>
  </w:style>
  <w:style w:type="paragraph" w:styleId="34">
    <w:name w:val="Block Text"/>
    <w:basedOn w:val="1"/>
    <w:autoRedefine/>
    <w:qFormat/>
    <w:uiPriority w:val="0"/>
    <w:pPr>
      <w:spacing w:line="360" w:lineRule="auto"/>
      <w:ind w:left="170" w:right="170" w:firstLine="200" w:firstLineChars="200"/>
    </w:pPr>
    <w:rPr>
      <w:color w:val="800000"/>
      <w:sz w:val="24"/>
      <w:szCs w:val="20"/>
    </w:rPr>
  </w:style>
  <w:style w:type="paragraph" w:styleId="35">
    <w:name w:val="List Bullet 2"/>
    <w:basedOn w:val="1"/>
    <w:autoRedefine/>
    <w:qFormat/>
    <w:uiPriority w:val="0"/>
    <w:pPr>
      <w:numPr>
        <w:ilvl w:val="0"/>
        <w:numId w:val="7"/>
      </w:numPr>
      <w:tabs>
        <w:tab w:val="left" w:pos="780"/>
      </w:tabs>
      <w:spacing w:line="360" w:lineRule="auto"/>
    </w:pPr>
    <w:rPr>
      <w:spacing w:val="10"/>
      <w:szCs w:val="20"/>
    </w:rPr>
  </w:style>
  <w:style w:type="paragraph" w:styleId="36">
    <w:name w:val="index 4"/>
    <w:basedOn w:val="1"/>
    <w:next w:val="1"/>
    <w:autoRedefine/>
    <w:qFormat/>
    <w:uiPriority w:val="0"/>
    <w:pPr>
      <w:autoSpaceDE w:val="0"/>
      <w:autoSpaceDN w:val="0"/>
      <w:adjustRightInd w:val="0"/>
      <w:spacing w:line="315" w:lineRule="atLeast"/>
      <w:ind w:left="1260" w:firstLine="459"/>
      <w:jc w:val="left"/>
      <w:textAlignment w:val="baseline"/>
    </w:pPr>
    <w:rPr>
      <w:rFonts w:ascii="宋体" w:hAnsi="Tms Rmn"/>
      <w:spacing w:val="10"/>
      <w:kern w:val="0"/>
      <w:szCs w:val="20"/>
    </w:rPr>
  </w:style>
  <w:style w:type="paragraph" w:styleId="37">
    <w:name w:val="toc 3"/>
    <w:basedOn w:val="1"/>
    <w:next w:val="1"/>
    <w:autoRedefine/>
    <w:unhideWhenUsed/>
    <w:qFormat/>
    <w:uiPriority w:val="39"/>
    <w:pPr>
      <w:ind w:left="840" w:leftChars="400"/>
    </w:pPr>
  </w:style>
  <w:style w:type="paragraph" w:styleId="38">
    <w:name w:val="Plain Text"/>
    <w:basedOn w:val="1"/>
    <w:link w:val="108"/>
    <w:autoRedefine/>
    <w:qFormat/>
    <w:uiPriority w:val="0"/>
    <w:rPr>
      <w:rFonts w:ascii="宋体" w:hAnsi="Courier New"/>
      <w:szCs w:val="20"/>
    </w:rPr>
  </w:style>
  <w:style w:type="paragraph" w:styleId="39">
    <w:name w:val="List Bullet 5"/>
    <w:basedOn w:val="1"/>
    <w:autoRedefine/>
    <w:qFormat/>
    <w:uiPriority w:val="0"/>
    <w:pPr>
      <w:numPr>
        <w:ilvl w:val="0"/>
        <w:numId w:val="8"/>
      </w:numPr>
      <w:tabs>
        <w:tab w:val="left" w:pos="2040"/>
      </w:tabs>
      <w:spacing w:line="360" w:lineRule="auto"/>
    </w:pPr>
    <w:rPr>
      <w:spacing w:val="10"/>
      <w:szCs w:val="20"/>
    </w:rPr>
  </w:style>
  <w:style w:type="paragraph" w:styleId="40">
    <w:name w:val="List Number 4"/>
    <w:basedOn w:val="1"/>
    <w:autoRedefine/>
    <w:qFormat/>
    <w:uiPriority w:val="0"/>
    <w:pPr>
      <w:spacing w:line="360" w:lineRule="auto"/>
    </w:pPr>
    <w:rPr>
      <w:spacing w:val="10"/>
      <w:szCs w:val="20"/>
    </w:rPr>
  </w:style>
  <w:style w:type="paragraph" w:styleId="41">
    <w:name w:val="index 3"/>
    <w:basedOn w:val="1"/>
    <w:next w:val="1"/>
    <w:autoRedefine/>
    <w:qFormat/>
    <w:uiPriority w:val="0"/>
    <w:pPr>
      <w:autoSpaceDE w:val="0"/>
      <w:autoSpaceDN w:val="0"/>
      <w:adjustRightInd w:val="0"/>
      <w:spacing w:line="315" w:lineRule="atLeast"/>
      <w:ind w:left="840" w:firstLine="459"/>
      <w:jc w:val="left"/>
      <w:textAlignment w:val="baseline"/>
    </w:pPr>
    <w:rPr>
      <w:rFonts w:ascii="宋体" w:hAnsi="Tms Rmn"/>
      <w:spacing w:val="10"/>
      <w:kern w:val="0"/>
      <w:szCs w:val="20"/>
    </w:rPr>
  </w:style>
  <w:style w:type="paragraph" w:styleId="42">
    <w:name w:val="Date"/>
    <w:basedOn w:val="1"/>
    <w:next w:val="1"/>
    <w:link w:val="133"/>
    <w:autoRedefine/>
    <w:qFormat/>
    <w:uiPriority w:val="0"/>
    <w:pPr>
      <w:ind w:left="100" w:leftChars="2500"/>
    </w:pPr>
    <w:rPr>
      <w:sz w:val="28"/>
    </w:rPr>
  </w:style>
  <w:style w:type="paragraph" w:styleId="43">
    <w:name w:val="Body Text Indent 2"/>
    <w:basedOn w:val="1"/>
    <w:next w:val="1"/>
    <w:link w:val="90"/>
    <w:autoRedefine/>
    <w:qFormat/>
    <w:uiPriority w:val="0"/>
    <w:pPr>
      <w:snapToGrid w:val="0"/>
      <w:spacing w:line="440" w:lineRule="atLeast"/>
      <w:ind w:firstLine="426" w:firstLineChars="202"/>
      <w:jc w:val="center"/>
    </w:pPr>
    <w:rPr>
      <w:rFonts w:ascii="宋体"/>
      <w:b/>
      <w:bCs/>
      <w:szCs w:val="21"/>
    </w:rPr>
  </w:style>
  <w:style w:type="paragraph" w:styleId="44">
    <w:name w:val="endnote text"/>
    <w:basedOn w:val="1"/>
    <w:link w:val="135"/>
    <w:autoRedefine/>
    <w:qFormat/>
    <w:uiPriority w:val="0"/>
    <w:pPr>
      <w:snapToGrid w:val="0"/>
      <w:spacing w:line="360" w:lineRule="auto"/>
      <w:ind w:firstLine="459"/>
      <w:jc w:val="left"/>
    </w:pPr>
    <w:rPr>
      <w:spacing w:val="10"/>
      <w:szCs w:val="20"/>
    </w:rPr>
  </w:style>
  <w:style w:type="paragraph" w:styleId="45">
    <w:name w:val="List Continue 5"/>
    <w:basedOn w:val="33"/>
    <w:autoRedefine/>
    <w:qFormat/>
    <w:uiPriority w:val="0"/>
    <w:pPr>
      <w:ind w:left="2160"/>
    </w:pPr>
  </w:style>
  <w:style w:type="paragraph" w:styleId="46">
    <w:name w:val="Balloon Text"/>
    <w:basedOn w:val="1"/>
    <w:link w:val="137"/>
    <w:autoRedefine/>
    <w:semiHidden/>
    <w:qFormat/>
    <w:uiPriority w:val="0"/>
    <w:rPr>
      <w:sz w:val="18"/>
      <w:szCs w:val="18"/>
    </w:rPr>
  </w:style>
  <w:style w:type="paragraph" w:styleId="47">
    <w:name w:val="footer"/>
    <w:basedOn w:val="1"/>
    <w:link w:val="139"/>
    <w:autoRedefine/>
    <w:unhideWhenUsed/>
    <w:qFormat/>
    <w:uiPriority w:val="99"/>
    <w:pPr>
      <w:tabs>
        <w:tab w:val="center" w:pos="4153"/>
        <w:tab w:val="right" w:pos="8306"/>
      </w:tabs>
      <w:snapToGrid w:val="0"/>
      <w:jc w:val="left"/>
    </w:pPr>
    <w:rPr>
      <w:sz w:val="18"/>
      <w:szCs w:val="18"/>
    </w:rPr>
  </w:style>
  <w:style w:type="paragraph" w:styleId="48">
    <w:name w:val="header"/>
    <w:basedOn w:val="1"/>
    <w:link w:val="14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9">
    <w:name w:val="Signature"/>
    <w:basedOn w:val="1"/>
    <w:link w:val="143"/>
    <w:autoRedefine/>
    <w:qFormat/>
    <w:uiPriority w:val="0"/>
    <w:pPr>
      <w:ind w:left="100" w:leftChars="2100"/>
    </w:pPr>
    <w:rPr>
      <w:szCs w:val="20"/>
    </w:rPr>
  </w:style>
  <w:style w:type="paragraph" w:styleId="50">
    <w:name w:val="toc 1"/>
    <w:basedOn w:val="1"/>
    <w:next w:val="1"/>
    <w:autoRedefine/>
    <w:unhideWhenUsed/>
    <w:qFormat/>
    <w:uiPriority w:val="39"/>
    <w:pPr>
      <w:tabs>
        <w:tab w:val="right" w:leader="dot" w:pos="9062"/>
      </w:tabs>
    </w:pPr>
    <w:rPr>
      <w:b/>
      <w:bCs/>
    </w:rPr>
  </w:style>
  <w:style w:type="paragraph" w:styleId="51">
    <w:name w:val="List Continue 4"/>
    <w:basedOn w:val="33"/>
    <w:autoRedefine/>
    <w:qFormat/>
    <w:uiPriority w:val="0"/>
    <w:pPr>
      <w:ind w:left="1800"/>
    </w:pPr>
  </w:style>
  <w:style w:type="paragraph" w:styleId="52">
    <w:name w:val="index heading"/>
    <w:basedOn w:val="1"/>
    <w:next w:val="53"/>
    <w:autoRedefine/>
    <w:qFormat/>
    <w:uiPriority w:val="0"/>
    <w:pPr>
      <w:autoSpaceDE w:val="0"/>
      <w:autoSpaceDN w:val="0"/>
      <w:adjustRightInd w:val="0"/>
      <w:spacing w:line="315" w:lineRule="atLeast"/>
      <w:ind w:firstLine="459"/>
      <w:jc w:val="left"/>
      <w:textAlignment w:val="baseline"/>
    </w:pPr>
    <w:rPr>
      <w:rFonts w:ascii="宋体" w:hAnsi="Tms Rmn"/>
      <w:spacing w:val="10"/>
      <w:kern w:val="0"/>
      <w:szCs w:val="20"/>
    </w:rPr>
  </w:style>
  <w:style w:type="paragraph" w:styleId="53">
    <w:name w:val="index 1"/>
    <w:basedOn w:val="1"/>
    <w:next w:val="1"/>
    <w:autoRedefine/>
    <w:unhideWhenUsed/>
    <w:qFormat/>
    <w:uiPriority w:val="0"/>
  </w:style>
  <w:style w:type="paragraph" w:styleId="54">
    <w:name w:val="Subtitle"/>
    <w:basedOn w:val="1"/>
    <w:link w:val="145"/>
    <w:autoRedefine/>
    <w:qFormat/>
    <w:uiPriority w:val="0"/>
    <w:pPr>
      <w:spacing w:before="240" w:after="60" w:line="312" w:lineRule="auto"/>
      <w:ind w:firstLine="480" w:firstLineChars="200"/>
      <w:jc w:val="center"/>
      <w:outlineLvl w:val="1"/>
    </w:pPr>
    <w:rPr>
      <w:rFonts w:ascii="Arial" w:hAnsi="Arial"/>
      <w:b/>
      <w:bCs/>
      <w:kern w:val="28"/>
      <w:sz w:val="44"/>
      <w:szCs w:val="32"/>
    </w:rPr>
  </w:style>
  <w:style w:type="paragraph" w:styleId="55">
    <w:name w:val="List Number 5"/>
    <w:basedOn w:val="1"/>
    <w:autoRedefine/>
    <w:qFormat/>
    <w:uiPriority w:val="0"/>
    <w:pPr>
      <w:numPr>
        <w:ilvl w:val="0"/>
        <w:numId w:val="9"/>
      </w:numPr>
      <w:spacing w:line="360" w:lineRule="auto"/>
    </w:pPr>
    <w:rPr>
      <w:spacing w:val="10"/>
      <w:szCs w:val="20"/>
    </w:rPr>
  </w:style>
  <w:style w:type="paragraph" w:styleId="56">
    <w:name w:val="footnote text"/>
    <w:basedOn w:val="1"/>
    <w:link w:val="147"/>
    <w:autoRedefine/>
    <w:qFormat/>
    <w:uiPriority w:val="0"/>
    <w:pPr>
      <w:autoSpaceDE w:val="0"/>
      <w:autoSpaceDN w:val="0"/>
      <w:adjustRightInd w:val="0"/>
      <w:spacing w:line="315" w:lineRule="atLeast"/>
      <w:ind w:firstLine="459"/>
      <w:jc w:val="left"/>
      <w:textAlignment w:val="baseline"/>
    </w:pPr>
    <w:rPr>
      <w:rFonts w:ascii="宋体" w:hAnsi="Tms Rmn"/>
      <w:spacing w:val="10"/>
      <w:kern w:val="0"/>
      <w:sz w:val="18"/>
      <w:szCs w:val="20"/>
    </w:rPr>
  </w:style>
  <w:style w:type="paragraph" w:styleId="57">
    <w:name w:val="List 5"/>
    <w:basedOn w:val="13"/>
    <w:autoRedefine/>
    <w:qFormat/>
    <w:uiPriority w:val="0"/>
    <w:pPr>
      <w:widowControl/>
      <w:tabs>
        <w:tab w:val="left" w:pos="2160"/>
      </w:tabs>
      <w:spacing w:before="120" w:after="80"/>
      <w:ind w:left="2160" w:right="274" w:hanging="360" w:firstLineChars="0"/>
    </w:pPr>
    <w:rPr>
      <w:rFonts w:ascii="Univers" w:hAnsi="Univers" w:eastAsia="MS Mincho"/>
      <w:kern w:val="0"/>
      <w:sz w:val="22"/>
      <w:szCs w:val="20"/>
      <w:lang w:val="en-GB" w:eastAsia="ja-JP"/>
    </w:rPr>
  </w:style>
  <w:style w:type="paragraph" w:styleId="58">
    <w:name w:val="Body Text Indent 3"/>
    <w:basedOn w:val="1"/>
    <w:link w:val="149"/>
    <w:autoRedefine/>
    <w:qFormat/>
    <w:uiPriority w:val="0"/>
    <w:pPr>
      <w:spacing w:line="360" w:lineRule="auto"/>
      <w:ind w:firstLine="632"/>
    </w:pPr>
    <w:rPr>
      <w:rFonts w:ascii="黑体" w:eastAsia="黑体"/>
      <w:sz w:val="28"/>
      <w:szCs w:val="20"/>
    </w:rPr>
  </w:style>
  <w:style w:type="paragraph" w:styleId="59">
    <w:name w:val="index 7"/>
    <w:basedOn w:val="1"/>
    <w:next w:val="1"/>
    <w:autoRedefine/>
    <w:qFormat/>
    <w:uiPriority w:val="0"/>
    <w:pPr>
      <w:autoSpaceDE w:val="0"/>
      <w:autoSpaceDN w:val="0"/>
      <w:adjustRightInd w:val="0"/>
      <w:spacing w:line="315" w:lineRule="atLeast"/>
      <w:ind w:left="2520" w:firstLine="459"/>
      <w:jc w:val="left"/>
      <w:textAlignment w:val="baseline"/>
    </w:pPr>
    <w:rPr>
      <w:rFonts w:ascii="宋体" w:hAnsi="Tms Rmn"/>
      <w:spacing w:val="10"/>
      <w:kern w:val="0"/>
      <w:szCs w:val="20"/>
    </w:rPr>
  </w:style>
  <w:style w:type="paragraph" w:styleId="60">
    <w:name w:val="index 9"/>
    <w:basedOn w:val="1"/>
    <w:next w:val="1"/>
    <w:autoRedefine/>
    <w:qFormat/>
    <w:uiPriority w:val="0"/>
    <w:pPr>
      <w:widowControl/>
      <w:tabs>
        <w:tab w:val="right" w:pos="2985"/>
      </w:tabs>
      <w:overflowPunct w:val="0"/>
      <w:autoSpaceDE w:val="0"/>
      <w:autoSpaceDN w:val="0"/>
      <w:adjustRightInd w:val="0"/>
      <w:ind w:left="1800" w:hanging="200"/>
      <w:jc w:val="left"/>
      <w:textAlignment w:val="baseline"/>
    </w:pPr>
    <w:rPr>
      <w:kern w:val="0"/>
      <w:sz w:val="18"/>
      <w:szCs w:val="20"/>
      <w:lang w:val="en-GB" w:eastAsia="en-US"/>
    </w:rPr>
  </w:style>
  <w:style w:type="paragraph" w:styleId="61">
    <w:name w:val="table of figures"/>
    <w:basedOn w:val="1"/>
    <w:next w:val="1"/>
    <w:autoRedefine/>
    <w:qFormat/>
    <w:uiPriority w:val="0"/>
    <w:pPr>
      <w:widowControl/>
      <w:ind w:left="200" w:leftChars="200" w:hanging="200" w:hangingChars="200"/>
      <w:jc w:val="left"/>
    </w:pPr>
    <w:rPr>
      <w:kern w:val="0"/>
      <w:sz w:val="20"/>
      <w:szCs w:val="20"/>
      <w:lang w:val="en-GB" w:eastAsia="en-US"/>
    </w:rPr>
  </w:style>
  <w:style w:type="paragraph" w:styleId="62">
    <w:name w:val="toc 2"/>
    <w:basedOn w:val="1"/>
    <w:next w:val="1"/>
    <w:autoRedefine/>
    <w:unhideWhenUsed/>
    <w:qFormat/>
    <w:uiPriority w:val="39"/>
    <w:pPr>
      <w:ind w:left="420" w:leftChars="200"/>
    </w:pPr>
  </w:style>
  <w:style w:type="paragraph" w:styleId="63">
    <w:name w:val="Body Text 2"/>
    <w:basedOn w:val="1"/>
    <w:link w:val="151"/>
    <w:autoRedefine/>
    <w:qFormat/>
    <w:uiPriority w:val="0"/>
    <w:pPr>
      <w:widowControl/>
      <w:jc w:val="center"/>
    </w:pPr>
    <w:rPr>
      <w:rFonts w:ascii="宋体" w:hAnsi="宋体"/>
      <w:kern w:val="0"/>
      <w:szCs w:val="32"/>
    </w:rPr>
  </w:style>
  <w:style w:type="paragraph" w:styleId="64">
    <w:name w:val="List 4"/>
    <w:basedOn w:val="13"/>
    <w:autoRedefine/>
    <w:qFormat/>
    <w:uiPriority w:val="0"/>
    <w:pPr>
      <w:widowControl/>
      <w:tabs>
        <w:tab w:val="left" w:pos="1800"/>
      </w:tabs>
      <w:spacing w:before="120" w:after="80"/>
      <w:ind w:left="1800" w:right="274" w:hanging="360" w:firstLineChars="0"/>
    </w:pPr>
    <w:rPr>
      <w:rFonts w:ascii="Univers" w:hAnsi="Univers" w:eastAsia="MS Mincho"/>
      <w:kern w:val="0"/>
      <w:sz w:val="22"/>
      <w:szCs w:val="20"/>
      <w:lang w:val="en-GB" w:eastAsia="ja-JP"/>
    </w:rPr>
  </w:style>
  <w:style w:type="paragraph" w:styleId="65">
    <w:name w:val="List Continue 2"/>
    <w:basedOn w:val="33"/>
    <w:autoRedefine/>
    <w:qFormat/>
    <w:uiPriority w:val="0"/>
    <w:pPr>
      <w:ind w:left="1080"/>
    </w:pPr>
  </w:style>
  <w:style w:type="paragraph" w:styleId="66">
    <w:name w:val="Message Header"/>
    <w:basedOn w:val="29"/>
    <w:link w:val="153"/>
    <w:autoRedefine/>
    <w:qFormat/>
    <w:uiPriority w:val="0"/>
    <w:pPr>
      <w:keepLines/>
      <w:widowControl/>
      <w:tabs>
        <w:tab w:val="left" w:pos="3600"/>
        <w:tab w:val="left" w:pos="4680"/>
      </w:tabs>
      <w:spacing w:before="120" w:after="240"/>
      <w:ind w:left="1080" w:right="2880" w:hanging="1080"/>
    </w:pPr>
    <w:rPr>
      <w:rFonts w:ascii="Arial" w:hAnsi="Arial" w:eastAsia="MS Mincho"/>
      <w:kern w:val="0"/>
      <w:sz w:val="22"/>
      <w:szCs w:val="20"/>
      <w:lang w:val="en-GB" w:eastAsia="ja-JP"/>
    </w:rPr>
  </w:style>
  <w:style w:type="paragraph" w:styleId="67">
    <w:name w:val="HTML Preformatted"/>
    <w:basedOn w:val="1"/>
    <w:link w:val="155"/>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kern w:val="0"/>
      <w:sz w:val="20"/>
      <w:szCs w:val="20"/>
    </w:rPr>
  </w:style>
  <w:style w:type="paragraph" w:styleId="68">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69">
    <w:name w:val="List Continue 3"/>
    <w:basedOn w:val="33"/>
    <w:autoRedefine/>
    <w:qFormat/>
    <w:uiPriority w:val="0"/>
    <w:pPr>
      <w:ind w:left="1440"/>
    </w:pPr>
  </w:style>
  <w:style w:type="paragraph" w:styleId="70">
    <w:name w:val="index 2"/>
    <w:basedOn w:val="1"/>
    <w:next w:val="1"/>
    <w:autoRedefine/>
    <w:qFormat/>
    <w:uiPriority w:val="0"/>
    <w:pPr>
      <w:autoSpaceDE w:val="0"/>
      <w:autoSpaceDN w:val="0"/>
      <w:adjustRightInd w:val="0"/>
      <w:spacing w:line="315" w:lineRule="atLeast"/>
      <w:ind w:left="420" w:firstLine="459"/>
      <w:jc w:val="left"/>
      <w:textAlignment w:val="baseline"/>
    </w:pPr>
    <w:rPr>
      <w:rFonts w:ascii="宋体" w:hAnsi="Tms Rmn"/>
      <w:spacing w:val="10"/>
      <w:kern w:val="0"/>
      <w:szCs w:val="20"/>
    </w:rPr>
  </w:style>
  <w:style w:type="paragraph" w:styleId="71">
    <w:name w:val="Title"/>
    <w:basedOn w:val="1"/>
    <w:link w:val="157"/>
    <w:autoRedefine/>
    <w:qFormat/>
    <w:uiPriority w:val="0"/>
    <w:pPr>
      <w:spacing w:before="240" w:after="60" w:line="360" w:lineRule="auto"/>
      <w:ind w:firstLine="200" w:firstLineChars="200"/>
      <w:jc w:val="center"/>
      <w:outlineLvl w:val="0"/>
    </w:pPr>
    <w:rPr>
      <w:rFonts w:ascii="Arial" w:hAnsi="Arial"/>
      <w:b/>
      <w:bCs/>
      <w:sz w:val="32"/>
      <w:szCs w:val="32"/>
    </w:rPr>
  </w:style>
  <w:style w:type="paragraph" w:styleId="72">
    <w:name w:val="annotation subject"/>
    <w:basedOn w:val="24"/>
    <w:next w:val="24"/>
    <w:link w:val="105"/>
    <w:autoRedefine/>
    <w:semiHidden/>
    <w:unhideWhenUsed/>
    <w:qFormat/>
    <w:uiPriority w:val="0"/>
    <w:rPr>
      <w:b/>
      <w:bCs/>
    </w:rPr>
  </w:style>
  <w:style w:type="paragraph" w:styleId="73">
    <w:name w:val="Body Text First Indent"/>
    <w:basedOn w:val="29"/>
    <w:link w:val="102"/>
    <w:autoRedefine/>
    <w:semiHidden/>
    <w:unhideWhenUsed/>
    <w:qFormat/>
    <w:uiPriority w:val="99"/>
    <w:pPr>
      <w:ind w:firstLine="420" w:firstLineChars="100"/>
    </w:pPr>
  </w:style>
  <w:style w:type="paragraph" w:styleId="74">
    <w:name w:val="Body Text First Indent 2"/>
    <w:basedOn w:val="30"/>
    <w:link w:val="630"/>
    <w:autoRedefine/>
    <w:unhideWhenUsed/>
    <w:qFormat/>
    <w:uiPriority w:val="99"/>
    <w:pPr>
      <w:ind w:firstLine="420" w:firstLineChars="200"/>
    </w:pPr>
    <w:rPr>
      <w:szCs w:val="24"/>
    </w:rPr>
  </w:style>
  <w:style w:type="table" w:styleId="76">
    <w:name w:val="Table Grid"/>
    <w:basedOn w:val="7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8">
    <w:name w:val="Strong"/>
    <w:autoRedefine/>
    <w:qFormat/>
    <w:uiPriority w:val="0"/>
    <w:rPr>
      <w:rFonts w:cs="Times New Roman"/>
      <w:b/>
      <w:bCs/>
    </w:rPr>
  </w:style>
  <w:style w:type="character" w:styleId="79">
    <w:name w:val="endnote reference"/>
    <w:autoRedefine/>
    <w:qFormat/>
    <w:uiPriority w:val="0"/>
    <w:rPr>
      <w:vertAlign w:val="superscript"/>
    </w:rPr>
  </w:style>
  <w:style w:type="character" w:styleId="80">
    <w:name w:val="page number"/>
    <w:autoRedefine/>
    <w:qFormat/>
    <w:uiPriority w:val="0"/>
  </w:style>
  <w:style w:type="character" w:styleId="81">
    <w:name w:val="FollowedHyperlink"/>
    <w:autoRedefine/>
    <w:qFormat/>
    <w:uiPriority w:val="0"/>
    <w:rPr>
      <w:color w:val="333333"/>
      <w:u w:val="none"/>
    </w:rPr>
  </w:style>
  <w:style w:type="character" w:styleId="82">
    <w:name w:val="line number"/>
    <w:autoRedefine/>
    <w:qFormat/>
    <w:uiPriority w:val="0"/>
  </w:style>
  <w:style w:type="character" w:styleId="83">
    <w:name w:val="HTML Definition"/>
    <w:autoRedefine/>
    <w:qFormat/>
    <w:uiPriority w:val="0"/>
    <w:rPr>
      <w:i/>
      <w:iCs/>
    </w:rPr>
  </w:style>
  <w:style w:type="character" w:styleId="84">
    <w:name w:val="HTML Typewriter"/>
    <w:autoRedefine/>
    <w:qFormat/>
    <w:uiPriority w:val="0"/>
    <w:rPr>
      <w:rFonts w:ascii="宋体" w:hAnsi="宋体" w:eastAsia="宋体" w:cs="宋体"/>
      <w:sz w:val="24"/>
      <w:szCs w:val="24"/>
    </w:rPr>
  </w:style>
  <w:style w:type="character" w:styleId="85">
    <w:name w:val="Hyperlink"/>
    <w:autoRedefine/>
    <w:qFormat/>
    <w:uiPriority w:val="99"/>
    <w:rPr>
      <w:color w:val="333333"/>
      <w:u w:val="none"/>
    </w:rPr>
  </w:style>
  <w:style w:type="character" w:styleId="86">
    <w:name w:val="HTML Code"/>
    <w:autoRedefine/>
    <w:qFormat/>
    <w:uiPriority w:val="0"/>
    <w:rPr>
      <w:rFonts w:ascii="Courier New" w:hAnsi="Courier New"/>
      <w:sz w:val="20"/>
      <w:szCs w:val="20"/>
    </w:rPr>
  </w:style>
  <w:style w:type="character" w:styleId="87">
    <w:name w:val="annotation reference"/>
    <w:basedOn w:val="77"/>
    <w:autoRedefine/>
    <w:unhideWhenUsed/>
    <w:qFormat/>
    <w:uiPriority w:val="99"/>
    <w:rPr>
      <w:sz w:val="21"/>
      <w:szCs w:val="21"/>
    </w:rPr>
  </w:style>
  <w:style w:type="character" w:styleId="88">
    <w:name w:val="footnote reference"/>
    <w:autoRedefine/>
    <w:qFormat/>
    <w:uiPriority w:val="0"/>
    <w:rPr>
      <w:sz w:val="18"/>
      <w:vertAlign w:val="baseline"/>
    </w:rPr>
  </w:style>
  <w:style w:type="character" w:customStyle="1" w:styleId="89">
    <w:name w:val="正文文本缩进 2 字符"/>
    <w:basedOn w:val="77"/>
    <w:autoRedefine/>
    <w:semiHidden/>
    <w:qFormat/>
    <w:uiPriority w:val="99"/>
    <w:rPr>
      <w:rFonts w:ascii="Times New Roman" w:hAnsi="Times New Roman" w:eastAsia="宋体" w:cs="Times New Roman"/>
      <w:szCs w:val="24"/>
    </w:rPr>
  </w:style>
  <w:style w:type="character" w:customStyle="1" w:styleId="90">
    <w:name w:val="正文文本缩进 2 字符1"/>
    <w:link w:val="43"/>
    <w:autoRedefine/>
    <w:qFormat/>
    <w:uiPriority w:val="0"/>
    <w:rPr>
      <w:rFonts w:ascii="宋体"/>
      <w:b/>
      <w:bCs/>
      <w:kern w:val="2"/>
      <w:sz w:val="21"/>
      <w:szCs w:val="21"/>
    </w:rPr>
  </w:style>
  <w:style w:type="character" w:customStyle="1" w:styleId="91">
    <w:name w:val="标题 1 字符"/>
    <w:basedOn w:val="77"/>
    <w:autoRedefine/>
    <w:qFormat/>
    <w:uiPriority w:val="9"/>
    <w:rPr>
      <w:rFonts w:ascii="Times New Roman" w:hAnsi="Times New Roman" w:eastAsia="宋体" w:cs="Times New Roman"/>
      <w:b/>
      <w:bCs/>
      <w:kern w:val="44"/>
      <w:sz w:val="44"/>
      <w:szCs w:val="44"/>
    </w:rPr>
  </w:style>
  <w:style w:type="character" w:customStyle="1" w:styleId="92">
    <w:name w:val="标题 2 字符"/>
    <w:basedOn w:val="77"/>
    <w:autoRedefine/>
    <w:semiHidden/>
    <w:qFormat/>
    <w:uiPriority w:val="9"/>
    <w:rPr>
      <w:rFonts w:asciiTheme="majorHAnsi" w:hAnsiTheme="majorHAnsi" w:eastAsiaTheme="majorEastAsia" w:cstheme="majorBidi"/>
      <w:b/>
      <w:bCs/>
      <w:sz w:val="32"/>
      <w:szCs w:val="32"/>
    </w:rPr>
  </w:style>
  <w:style w:type="character" w:customStyle="1" w:styleId="93">
    <w:name w:val="标题 3 字符"/>
    <w:basedOn w:val="77"/>
    <w:autoRedefine/>
    <w:semiHidden/>
    <w:qFormat/>
    <w:uiPriority w:val="9"/>
    <w:rPr>
      <w:rFonts w:ascii="Times New Roman" w:hAnsi="Times New Roman" w:eastAsia="宋体" w:cs="Times New Roman"/>
      <w:b/>
      <w:bCs/>
      <w:sz w:val="32"/>
      <w:szCs w:val="32"/>
    </w:rPr>
  </w:style>
  <w:style w:type="character" w:customStyle="1" w:styleId="94">
    <w:name w:val="标题 4 字符"/>
    <w:basedOn w:val="77"/>
    <w:autoRedefine/>
    <w:semiHidden/>
    <w:qFormat/>
    <w:uiPriority w:val="9"/>
    <w:rPr>
      <w:rFonts w:asciiTheme="majorHAnsi" w:hAnsiTheme="majorHAnsi" w:eastAsiaTheme="majorEastAsia" w:cstheme="majorBidi"/>
      <w:b/>
      <w:bCs/>
      <w:sz w:val="28"/>
      <w:szCs w:val="28"/>
    </w:rPr>
  </w:style>
  <w:style w:type="character" w:customStyle="1" w:styleId="95">
    <w:name w:val="标题 5 字符"/>
    <w:basedOn w:val="77"/>
    <w:autoRedefine/>
    <w:semiHidden/>
    <w:qFormat/>
    <w:uiPriority w:val="9"/>
    <w:rPr>
      <w:rFonts w:ascii="Times New Roman" w:hAnsi="Times New Roman" w:eastAsia="宋体" w:cs="Times New Roman"/>
      <w:b/>
      <w:bCs/>
      <w:sz w:val="28"/>
      <w:szCs w:val="28"/>
    </w:rPr>
  </w:style>
  <w:style w:type="character" w:customStyle="1" w:styleId="96">
    <w:name w:val="标题 6 字符"/>
    <w:basedOn w:val="77"/>
    <w:autoRedefine/>
    <w:semiHidden/>
    <w:qFormat/>
    <w:uiPriority w:val="9"/>
    <w:rPr>
      <w:rFonts w:asciiTheme="majorHAnsi" w:hAnsiTheme="majorHAnsi" w:eastAsiaTheme="majorEastAsia" w:cstheme="majorBidi"/>
      <w:b/>
      <w:bCs/>
      <w:sz w:val="24"/>
      <w:szCs w:val="24"/>
    </w:rPr>
  </w:style>
  <w:style w:type="character" w:customStyle="1" w:styleId="97">
    <w:name w:val="标题 7 字符"/>
    <w:basedOn w:val="77"/>
    <w:autoRedefine/>
    <w:semiHidden/>
    <w:qFormat/>
    <w:uiPriority w:val="9"/>
    <w:rPr>
      <w:rFonts w:ascii="Times New Roman" w:hAnsi="Times New Roman" w:eastAsia="宋体" w:cs="Times New Roman"/>
      <w:b/>
      <w:bCs/>
      <w:sz w:val="24"/>
      <w:szCs w:val="24"/>
    </w:rPr>
  </w:style>
  <w:style w:type="character" w:customStyle="1" w:styleId="98">
    <w:name w:val="标题 8 字符"/>
    <w:basedOn w:val="77"/>
    <w:autoRedefine/>
    <w:semiHidden/>
    <w:qFormat/>
    <w:uiPriority w:val="9"/>
    <w:rPr>
      <w:rFonts w:asciiTheme="majorHAnsi" w:hAnsiTheme="majorHAnsi" w:eastAsiaTheme="majorEastAsia" w:cstheme="majorBidi"/>
      <w:sz w:val="24"/>
      <w:szCs w:val="24"/>
    </w:rPr>
  </w:style>
  <w:style w:type="character" w:customStyle="1" w:styleId="99">
    <w:name w:val="标题 9 字符"/>
    <w:basedOn w:val="77"/>
    <w:autoRedefine/>
    <w:semiHidden/>
    <w:qFormat/>
    <w:uiPriority w:val="9"/>
    <w:rPr>
      <w:rFonts w:asciiTheme="majorHAnsi" w:hAnsiTheme="majorHAnsi" w:eastAsiaTheme="majorEastAsia" w:cstheme="majorBidi"/>
      <w:szCs w:val="21"/>
    </w:rPr>
  </w:style>
  <w:style w:type="character" w:customStyle="1" w:styleId="100">
    <w:name w:val="标题 1 字符1"/>
    <w:link w:val="2"/>
    <w:autoRedefine/>
    <w:qFormat/>
    <w:uiPriority w:val="0"/>
    <w:rPr>
      <w:rFonts w:ascii="Times New Roman" w:hAnsi="Times New Roman" w:eastAsia="宋体" w:cs="Times New Roman"/>
      <w:sz w:val="28"/>
      <w:szCs w:val="20"/>
    </w:rPr>
  </w:style>
  <w:style w:type="character" w:customStyle="1" w:styleId="101">
    <w:name w:val="正文文本 字符"/>
    <w:basedOn w:val="77"/>
    <w:link w:val="29"/>
    <w:autoRedefine/>
    <w:qFormat/>
    <w:uiPriority w:val="0"/>
    <w:rPr>
      <w:rFonts w:ascii="Times New Roman" w:hAnsi="Times New Roman" w:eastAsia="宋体" w:cs="Times New Roman"/>
      <w:szCs w:val="24"/>
    </w:rPr>
  </w:style>
  <w:style w:type="character" w:customStyle="1" w:styleId="102">
    <w:name w:val="正文文本首行缩进 字符"/>
    <w:basedOn w:val="101"/>
    <w:link w:val="73"/>
    <w:autoRedefine/>
    <w:qFormat/>
    <w:uiPriority w:val="0"/>
    <w:rPr>
      <w:rFonts w:ascii="Times New Roman" w:hAnsi="Times New Roman" w:eastAsia="宋体" w:cs="Times New Roman"/>
      <w:szCs w:val="24"/>
    </w:rPr>
  </w:style>
  <w:style w:type="character" w:customStyle="1" w:styleId="103">
    <w:name w:val="正文文本缩进 2 Char"/>
    <w:autoRedefine/>
    <w:qFormat/>
    <w:uiPriority w:val="0"/>
    <w:rPr>
      <w:rFonts w:ascii="宋体" w:hAnsi="Times New Roman" w:eastAsia="宋体" w:cs="Times New Roman"/>
      <w:sz w:val="28"/>
      <w:szCs w:val="20"/>
    </w:rPr>
  </w:style>
  <w:style w:type="character" w:customStyle="1" w:styleId="104">
    <w:name w:val="批注文字 字符"/>
    <w:basedOn w:val="77"/>
    <w:link w:val="24"/>
    <w:autoRedefine/>
    <w:qFormat/>
    <w:uiPriority w:val="99"/>
    <w:rPr>
      <w:rFonts w:ascii="Times New Roman" w:hAnsi="Times New Roman" w:eastAsia="宋体" w:cs="Times New Roman"/>
      <w:szCs w:val="24"/>
    </w:rPr>
  </w:style>
  <w:style w:type="character" w:customStyle="1" w:styleId="105">
    <w:name w:val="批注主题 字符"/>
    <w:basedOn w:val="104"/>
    <w:link w:val="72"/>
    <w:autoRedefine/>
    <w:semiHidden/>
    <w:qFormat/>
    <w:uiPriority w:val="99"/>
    <w:rPr>
      <w:rFonts w:ascii="Times New Roman" w:hAnsi="Times New Roman" w:eastAsia="宋体" w:cs="Times New Roman"/>
      <w:b/>
      <w:bCs/>
      <w:szCs w:val="24"/>
    </w:rPr>
  </w:style>
  <w:style w:type="paragraph" w:styleId="106">
    <w:name w:val="List Paragraph"/>
    <w:basedOn w:val="1"/>
    <w:autoRedefine/>
    <w:qFormat/>
    <w:uiPriority w:val="34"/>
    <w:pPr>
      <w:ind w:firstLine="420" w:firstLineChars="200"/>
    </w:pPr>
  </w:style>
  <w:style w:type="character" w:customStyle="1" w:styleId="107">
    <w:name w:val="纯文本 字符"/>
    <w:basedOn w:val="77"/>
    <w:autoRedefine/>
    <w:semiHidden/>
    <w:qFormat/>
    <w:uiPriority w:val="99"/>
    <w:rPr>
      <w:rFonts w:hAnsi="Courier New" w:cs="Courier New" w:asciiTheme="minorEastAsia"/>
      <w:szCs w:val="24"/>
    </w:rPr>
  </w:style>
  <w:style w:type="character" w:customStyle="1" w:styleId="108">
    <w:name w:val="纯文本 字符1"/>
    <w:link w:val="38"/>
    <w:autoRedefine/>
    <w:qFormat/>
    <w:uiPriority w:val="0"/>
    <w:rPr>
      <w:rFonts w:ascii="宋体" w:hAnsi="Courier New" w:eastAsia="宋体" w:cs="Times New Roman"/>
      <w:szCs w:val="20"/>
    </w:rPr>
  </w:style>
  <w:style w:type="character" w:customStyle="1" w:styleId="109">
    <w:name w:val="标题 1 Char"/>
    <w:autoRedefine/>
    <w:qFormat/>
    <w:uiPriority w:val="0"/>
    <w:rPr>
      <w:rFonts w:ascii="Times New Roman" w:hAnsi="Times New Roman" w:eastAsia="宋体" w:cs="Times New Roman"/>
      <w:sz w:val="28"/>
      <w:szCs w:val="20"/>
    </w:rPr>
  </w:style>
  <w:style w:type="character" w:customStyle="1" w:styleId="110">
    <w:name w:val="标题 2 字符1"/>
    <w:link w:val="3"/>
    <w:autoRedefine/>
    <w:qFormat/>
    <w:uiPriority w:val="0"/>
    <w:rPr>
      <w:rFonts w:ascii="Arial" w:hAnsi="Arial" w:eastAsia="黑体" w:cs="Times New Roman"/>
      <w:b/>
      <w:bCs/>
      <w:sz w:val="32"/>
      <w:szCs w:val="32"/>
    </w:rPr>
  </w:style>
  <w:style w:type="paragraph" w:customStyle="1" w:styleId="111">
    <w:name w:val="表格标题"/>
    <w:basedOn w:val="29"/>
    <w:autoRedefine/>
    <w:qFormat/>
    <w:uiPriority w:val="0"/>
    <w:pPr>
      <w:widowControl/>
      <w:adjustRightInd w:val="0"/>
      <w:snapToGrid w:val="0"/>
      <w:spacing w:after="0" w:line="440" w:lineRule="exact"/>
      <w:ind w:firstLine="83" w:firstLineChars="83"/>
      <w:jc w:val="center"/>
    </w:pPr>
    <w:rPr>
      <w:rFonts w:ascii="宋体" w:hAnsi="宋体"/>
      <w:b/>
      <w:kern w:val="0"/>
      <w:sz w:val="24"/>
      <w:szCs w:val="21"/>
      <w:lang w:eastAsia="en-US"/>
    </w:rPr>
  </w:style>
  <w:style w:type="character" w:customStyle="1" w:styleId="112">
    <w:name w:val="标题 3 字符1"/>
    <w:link w:val="4"/>
    <w:autoRedefine/>
    <w:qFormat/>
    <w:uiPriority w:val="0"/>
    <w:rPr>
      <w:b/>
      <w:bCs/>
      <w:kern w:val="2"/>
      <w:sz w:val="21"/>
      <w:szCs w:val="21"/>
    </w:rPr>
  </w:style>
  <w:style w:type="character" w:customStyle="1" w:styleId="113">
    <w:name w:val="标题 4 字符1"/>
    <w:link w:val="5"/>
    <w:autoRedefine/>
    <w:qFormat/>
    <w:uiPriority w:val="0"/>
    <w:rPr>
      <w:rFonts w:ascii="宋体" w:hAnsi="宋体" w:eastAsia="宋体" w:cs="Times New Roman"/>
      <w:b/>
      <w:bCs/>
      <w:sz w:val="28"/>
      <w:szCs w:val="28"/>
    </w:rPr>
  </w:style>
  <w:style w:type="character" w:customStyle="1" w:styleId="114">
    <w:name w:val="标题 5 字符1"/>
    <w:link w:val="6"/>
    <w:autoRedefine/>
    <w:qFormat/>
    <w:uiPriority w:val="0"/>
    <w:rPr>
      <w:rFonts w:ascii="Times New Roman" w:hAnsi="Times New Roman" w:eastAsia="宋体" w:cs="Times New Roman"/>
      <w:b/>
      <w:bCs/>
      <w:sz w:val="28"/>
      <w:szCs w:val="28"/>
    </w:rPr>
  </w:style>
  <w:style w:type="character" w:customStyle="1" w:styleId="115">
    <w:name w:val="标题 6 字符1"/>
    <w:link w:val="7"/>
    <w:autoRedefine/>
    <w:qFormat/>
    <w:uiPriority w:val="0"/>
    <w:rPr>
      <w:rFonts w:ascii="Cambria" w:hAnsi="Cambria" w:eastAsia="宋体" w:cs="Times New Roman"/>
      <w:b/>
      <w:bCs/>
      <w:sz w:val="24"/>
      <w:szCs w:val="24"/>
    </w:rPr>
  </w:style>
  <w:style w:type="character" w:customStyle="1" w:styleId="116">
    <w:name w:val="标题 7 字符1"/>
    <w:link w:val="8"/>
    <w:autoRedefine/>
    <w:qFormat/>
    <w:uiPriority w:val="0"/>
    <w:rPr>
      <w:rFonts w:ascii="Times New Roman" w:hAnsi="Times New Roman" w:eastAsia="宋体" w:cs="Times New Roman"/>
      <w:b/>
      <w:bCs/>
      <w:sz w:val="24"/>
      <w:szCs w:val="24"/>
    </w:rPr>
  </w:style>
  <w:style w:type="character" w:customStyle="1" w:styleId="117">
    <w:name w:val="标题 8 字符1"/>
    <w:link w:val="9"/>
    <w:autoRedefine/>
    <w:qFormat/>
    <w:uiPriority w:val="0"/>
    <w:rPr>
      <w:rFonts w:ascii="黑体" w:hAnsi="Tms Rmn" w:eastAsia="黑体" w:cs="Times New Roman"/>
      <w:spacing w:val="10"/>
      <w:kern w:val="0"/>
      <w:sz w:val="28"/>
      <w:szCs w:val="20"/>
    </w:rPr>
  </w:style>
  <w:style w:type="character" w:customStyle="1" w:styleId="118">
    <w:name w:val="正文缩进 字符"/>
    <w:link w:val="10"/>
    <w:autoRedefine/>
    <w:qFormat/>
    <w:uiPriority w:val="0"/>
    <w:rPr>
      <w:rFonts w:ascii="Times New Roman" w:hAnsi="Times New Roman" w:eastAsia="宋体" w:cs="Times New Roman"/>
      <w:b/>
      <w:bCs/>
      <w:szCs w:val="24"/>
    </w:rPr>
  </w:style>
  <w:style w:type="character" w:customStyle="1" w:styleId="119">
    <w:name w:val="标题 9 字符1"/>
    <w:link w:val="11"/>
    <w:autoRedefine/>
    <w:qFormat/>
    <w:uiPriority w:val="0"/>
    <w:rPr>
      <w:rFonts w:ascii="黑体" w:hAnsi="Tms Rmn" w:eastAsia="黑体" w:cs="Times New Roman"/>
      <w:spacing w:val="10"/>
      <w:kern w:val="0"/>
      <w:sz w:val="28"/>
      <w:szCs w:val="20"/>
    </w:rPr>
  </w:style>
  <w:style w:type="character" w:customStyle="1" w:styleId="120">
    <w:name w:val="注释标题 字符"/>
    <w:basedOn w:val="77"/>
    <w:autoRedefine/>
    <w:semiHidden/>
    <w:qFormat/>
    <w:uiPriority w:val="99"/>
    <w:rPr>
      <w:rFonts w:ascii="Times New Roman" w:hAnsi="Times New Roman" w:eastAsia="宋体" w:cs="Times New Roman"/>
      <w:szCs w:val="24"/>
    </w:rPr>
  </w:style>
  <w:style w:type="character" w:customStyle="1" w:styleId="121">
    <w:name w:val="注释标题 字符1"/>
    <w:link w:val="15"/>
    <w:autoRedefine/>
    <w:qFormat/>
    <w:uiPriority w:val="0"/>
    <w:rPr>
      <w:rFonts w:ascii="Arial" w:hAnsi="Arial" w:eastAsia="宋体" w:cs="Times New Roman"/>
      <w:b/>
      <w:sz w:val="44"/>
      <w:szCs w:val="20"/>
    </w:rPr>
  </w:style>
  <w:style w:type="character" w:customStyle="1" w:styleId="122">
    <w:name w:val="文档结构图 字符"/>
    <w:basedOn w:val="77"/>
    <w:autoRedefine/>
    <w:semiHidden/>
    <w:qFormat/>
    <w:uiPriority w:val="99"/>
    <w:rPr>
      <w:rFonts w:ascii="Microsoft YaHei UI" w:hAnsi="Times New Roman" w:eastAsia="Microsoft YaHei UI" w:cs="Times New Roman"/>
      <w:sz w:val="18"/>
      <w:szCs w:val="18"/>
    </w:rPr>
  </w:style>
  <w:style w:type="character" w:customStyle="1" w:styleId="123">
    <w:name w:val="文档结构图 字符1"/>
    <w:link w:val="22"/>
    <w:autoRedefine/>
    <w:semiHidden/>
    <w:qFormat/>
    <w:uiPriority w:val="0"/>
    <w:rPr>
      <w:rFonts w:ascii="Times New Roman" w:hAnsi="Times New Roman" w:eastAsia="宋体" w:cs="Times New Roman"/>
      <w:szCs w:val="24"/>
      <w:shd w:val="clear" w:color="auto" w:fill="000080"/>
    </w:rPr>
  </w:style>
  <w:style w:type="character" w:customStyle="1" w:styleId="124">
    <w:name w:val="批注文字 Char"/>
    <w:autoRedefine/>
    <w:qFormat/>
    <w:uiPriority w:val="0"/>
    <w:rPr>
      <w:rFonts w:ascii="Times New Roman" w:hAnsi="Times New Roman" w:eastAsia="宋体" w:cs="Times New Roman"/>
      <w:szCs w:val="24"/>
    </w:rPr>
  </w:style>
  <w:style w:type="character" w:customStyle="1" w:styleId="125">
    <w:name w:val="称呼 字符"/>
    <w:basedOn w:val="77"/>
    <w:autoRedefine/>
    <w:semiHidden/>
    <w:qFormat/>
    <w:uiPriority w:val="99"/>
    <w:rPr>
      <w:rFonts w:ascii="Times New Roman" w:hAnsi="Times New Roman" w:eastAsia="宋体" w:cs="Times New Roman"/>
      <w:szCs w:val="24"/>
    </w:rPr>
  </w:style>
  <w:style w:type="character" w:customStyle="1" w:styleId="126">
    <w:name w:val="称呼 字符1"/>
    <w:link w:val="26"/>
    <w:autoRedefine/>
    <w:qFormat/>
    <w:uiPriority w:val="0"/>
    <w:rPr>
      <w:rFonts w:ascii="Times New Roman" w:hAnsi="Times New Roman" w:eastAsia="宋体" w:cs="Times New Roman"/>
      <w:kern w:val="0"/>
      <w:sz w:val="24"/>
      <w:szCs w:val="20"/>
    </w:rPr>
  </w:style>
  <w:style w:type="character" w:customStyle="1" w:styleId="127">
    <w:name w:val="正文文本 3 字符"/>
    <w:basedOn w:val="77"/>
    <w:autoRedefine/>
    <w:semiHidden/>
    <w:qFormat/>
    <w:uiPriority w:val="99"/>
    <w:rPr>
      <w:rFonts w:ascii="Times New Roman" w:hAnsi="Times New Roman" w:eastAsia="宋体" w:cs="Times New Roman"/>
      <w:sz w:val="16"/>
      <w:szCs w:val="16"/>
    </w:rPr>
  </w:style>
  <w:style w:type="character" w:customStyle="1" w:styleId="128">
    <w:name w:val="正文文本 3 字符1"/>
    <w:link w:val="27"/>
    <w:autoRedefine/>
    <w:qFormat/>
    <w:uiPriority w:val="0"/>
    <w:rPr>
      <w:rFonts w:ascii="Times New Roman" w:hAnsi="Times New Roman" w:eastAsia="宋体" w:cs="Times New Roman"/>
      <w:kern w:val="0"/>
      <w:sz w:val="16"/>
      <w:szCs w:val="16"/>
    </w:rPr>
  </w:style>
  <w:style w:type="character" w:customStyle="1" w:styleId="129">
    <w:name w:val="正文文本 Char"/>
    <w:autoRedefine/>
    <w:qFormat/>
    <w:uiPriority w:val="0"/>
    <w:rPr>
      <w:rFonts w:ascii="Times New Roman" w:hAnsi="Times New Roman" w:eastAsia="宋体" w:cs="Times New Roman"/>
      <w:sz w:val="24"/>
      <w:szCs w:val="24"/>
    </w:rPr>
  </w:style>
  <w:style w:type="character" w:customStyle="1" w:styleId="130">
    <w:name w:val="正文文本缩进 字符"/>
    <w:basedOn w:val="77"/>
    <w:autoRedefine/>
    <w:semiHidden/>
    <w:qFormat/>
    <w:uiPriority w:val="99"/>
    <w:rPr>
      <w:rFonts w:ascii="Times New Roman" w:hAnsi="Times New Roman" w:eastAsia="宋体" w:cs="Times New Roman"/>
      <w:szCs w:val="24"/>
    </w:rPr>
  </w:style>
  <w:style w:type="character" w:customStyle="1" w:styleId="131">
    <w:name w:val="正文文本缩进 字符1"/>
    <w:link w:val="30"/>
    <w:autoRedefine/>
    <w:qFormat/>
    <w:uiPriority w:val="0"/>
    <w:rPr>
      <w:rFonts w:ascii="Times New Roman" w:hAnsi="Times New Roman" w:eastAsia="宋体" w:cs="Times New Roman"/>
      <w:szCs w:val="21"/>
    </w:rPr>
  </w:style>
  <w:style w:type="character" w:customStyle="1" w:styleId="132">
    <w:name w:val="日期 字符"/>
    <w:basedOn w:val="77"/>
    <w:autoRedefine/>
    <w:semiHidden/>
    <w:qFormat/>
    <w:uiPriority w:val="99"/>
    <w:rPr>
      <w:rFonts w:ascii="Times New Roman" w:hAnsi="Times New Roman" w:eastAsia="宋体" w:cs="Times New Roman"/>
      <w:szCs w:val="24"/>
    </w:rPr>
  </w:style>
  <w:style w:type="character" w:customStyle="1" w:styleId="133">
    <w:name w:val="日期 字符1"/>
    <w:link w:val="42"/>
    <w:autoRedefine/>
    <w:qFormat/>
    <w:uiPriority w:val="0"/>
    <w:rPr>
      <w:rFonts w:ascii="Times New Roman" w:hAnsi="Times New Roman" w:eastAsia="宋体" w:cs="Times New Roman"/>
      <w:sz w:val="28"/>
      <w:szCs w:val="24"/>
    </w:rPr>
  </w:style>
  <w:style w:type="character" w:customStyle="1" w:styleId="134">
    <w:name w:val="尾注文本 字符"/>
    <w:basedOn w:val="77"/>
    <w:autoRedefine/>
    <w:semiHidden/>
    <w:qFormat/>
    <w:uiPriority w:val="99"/>
    <w:rPr>
      <w:rFonts w:ascii="Times New Roman" w:hAnsi="Times New Roman" w:eastAsia="宋体" w:cs="Times New Roman"/>
      <w:szCs w:val="24"/>
    </w:rPr>
  </w:style>
  <w:style w:type="character" w:customStyle="1" w:styleId="135">
    <w:name w:val="尾注文本 字符1"/>
    <w:link w:val="44"/>
    <w:autoRedefine/>
    <w:qFormat/>
    <w:uiPriority w:val="0"/>
    <w:rPr>
      <w:rFonts w:ascii="Times New Roman" w:hAnsi="Times New Roman" w:eastAsia="宋体" w:cs="Times New Roman"/>
      <w:spacing w:val="10"/>
      <w:szCs w:val="20"/>
    </w:rPr>
  </w:style>
  <w:style w:type="character" w:customStyle="1" w:styleId="136">
    <w:name w:val="批注框文本 字符"/>
    <w:basedOn w:val="77"/>
    <w:autoRedefine/>
    <w:semiHidden/>
    <w:qFormat/>
    <w:uiPriority w:val="99"/>
    <w:rPr>
      <w:rFonts w:ascii="Times New Roman" w:hAnsi="Times New Roman" w:eastAsia="宋体" w:cs="Times New Roman"/>
      <w:sz w:val="18"/>
      <w:szCs w:val="18"/>
    </w:rPr>
  </w:style>
  <w:style w:type="character" w:customStyle="1" w:styleId="137">
    <w:name w:val="批注框文本 字符1"/>
    <w:link w:val="46"/>
    <w:autoRedefine/>
    <w:semiHidden/>
    <w:qFormat/>
    <w:uiPriority w:val="0"/>
    <w:rPr>
      <w:rFonts w:ascii="Times New Roman" w:hAnsi="Times New Roman" w:eastAsia="宋体" w:cs="Times New Roman"/>
      <w:sz w:val="18"/>
      <w:szCs w:val="18"/>
    </w:rPr>
  </w:style>
  <w:style w:type="character" w:customStyle="1" w:styleId="138">
    <w:name w:val="页脚 字符"/>
    <w:basedOn w:val="77"/>
    <w:autoRedefine/>
    <w:qFormat/>
    <w:uiPriority w:val="99"/>
    <w:rPr>
      <w:rFonts w:ascii="Times New Roman" w:hAnsi="Times New Roman" w:eastAsia="宋体" w:cs="Times New Roman"/>
      <w:sz w:val="18"/>
      <w:szCs w:val="18"/>
    </w:rPr>
  </w:style>
  <w:style w:type="character" w:customStyle="1" w:styleId="139">
    <w:name w:val="页脚 字符1"/>
    <w:link w:val="47"/>
    <w:autoRedefine/>
    <w:qFormat/>
    <w:uiPriority w:val="99"/>
    <w:rPr>
      <w:rFonts w:ascii="Times New Roman" w:hAnsi="Times New Roman" w:eastAsia="宋体" w:cs="Times New Roman"/>
      <w:sz w:val="18"/>
      <w:szCs w:val="18"/>
    </w:rPr>
  </w:style>
  <w:style w:type="character" w:customStyle="1" w:styleId="140">
    <w:name w:val="页眉 字符"/>
    <w:basedOn w:val="77"/>
    <w:autoRedefine/>
    <w:qFormat/>
    <w:uiPriority w:val="99"/>
    <w:rPr>
      <w:rFonts w:ascii="Times New Roman" w:hAnsi="Times New Roman" w:eastAsia="宋体" w:cs="Times New Roman"/>
      <w:sz w:val="18"/>
      <w:szCs w:val="18"/>
    </w:rPr>
  </w:style>
  <w:style w:type="character" w:customStyle="1" w:styleId="141">
    <w:name w:val="页眉 字符1"/>
    <w:link w:val="48"/>
    <w:autoRedefine/>
    <w:qFormat/>
    <w:uiPriority w:val="99"/>
    <w:rPr>
      <w:rFonts w:ascii="Times New Roman" w:hAnsi="Times New Roman" w:eastAsia="宋体" w:cs="Times New Roman"/>
      <w:sz w:val="18"/>
      <w:szCs w:val="18"/>
    </w:rPr>
  </w:style>
  <w:style w:type="character" w:customStyle="1" w:styleId="142">
    <w:name w:val="签名 字符"/>
    <w:basedOn w:val="77"/>
    <w:autoRedefine/>
    <w:semiHidden/>
    <w:qFormat/>
    <w:uiPriority w:val="99"/>
    <w:rPr>
      <w:rFonts w:ascii="Times New Roman" w:hAnsi="Times New Roman" w:eastAsia="宋体" w:cs="Times New Roman"/>
      <w:szCs w:val="24"/>
    </w:rPr>
  </w:style>
  <w:style w:type="character" w:customStyle="1" w:styleId="143">
    <w:name w:val="签名 字符1"/>
    <w:link w:val="49"/>
    <w:autoRedefine/>
    <w:qFormat/>
    <w:uiPriority w:val="0"/>
    <w:rPr>
      <w:rFonts w:ascii="Times New Roman" w:hAnsi="Times New Roman" w:eastAsia="宋体" w:cs="Times New Roman"/>
      <w:szCs w:val="20"/>
    </w:rPr>
  </w:style>
  <w:style w:type="character" w:customStyle="1" w:styleId="144">
    <w:name w:val="副标题 字符"/>
    <w:basedOn w:val="77"/>
    <w:autoRedefine/>
    <w:qFormat/>
    <w:uiPriority w:val="11"/>
    <w:rPr>
      <w:b/>
      <w:bCs/>
      <w:kern w:val="28"/>
      <w:sz w:val="32"/>
      <w:szCs w:val="32"/>
    </w:rPr>
  </w:style>
  <w:style w:type="character" w:customStyle="1" w:styleId="145">
    <w:name w:val="副标题 字符1"/>
    <w:link w:val="54"/>
    <w:autoRedefine/>
    <w:qFormat/>
    <w:uiPriority w:val="0"/>
    <w:rPr>
      <w:rFonts w:ascii="Arial" w:hAnsi="Arial" w:eastAsia="宋体" w:cs="Times New Roman"/>
      <w:b/>
      <w:bCs/>
      <w:kern w:val="28"/>
      <w:sz w:val="44"/>
      <w:szCs w:val="32"/>
    </w:rPr>
  </w:style>
  <w:style w:type="character" w:customStyle="1" w:styleId="146">
    <w:name w:val="脚注文本 字符"/>
    <w:basedOn w:val="77"/>
    <w:autoRedefine/>
    <w:semiHidden/>
    <w:qFormat/>
    <w:uiPriority w:val="99"/>
    <w:rPr>
      <w:rFonts w:ascii="Times New Roman" w:hAnsi="Times New Roman" w:eastAsia="宋体" w:cs="Times New Roman"/>
      <w:sz w:val="18"/>
      <w:szCs w:val="18"/>
    </w:rPr>
  </w:style>
  <w:style w:type="character" w:customStyle="1" w:styleId="147">
    <w:name w:val="脚注文本 字符1"/>
    <w:link w:val="56"/>
    <w:autoRedefine/>
    <w:qFormat/>
    <w:uiPriority w:val="0"/>
    <w:rPr>
      <w:rFonts w:ascii="宋体" w:hAnsi="Tms Rmn" w:eastAsia="宋体" w:cs="Times New Roman"/>
      <w:spacing w:val="10"/>
      <w:kern w:val="0"/>
      <w:sz w:val="18"/>
      <w:szCs w:val="20"/>
    </w:rPr>
  </w:style>
  <w:style w:type="character" w:customStyle="1" w:styleId="148">
    <w:name w:val="正文文本缩进 3 字符"/>
    <w:basedOn w:val="77"/>
    <w:autoRedefine/>
    <w:semiHidden/>
    <w:qFormat/>
    <w:uiPriority w:val="99"/>
    <w:rPr>
      <w:rFonts w:ascii="Times New Roman" w:hAnsi="Times New Roman" w:eastAsia="宋体" w:cs="Times New Roman"/>
      <w:sz w:val="16"/>
      <w:szCs w:val="16"/>
    </w:rPr>
  </w:style>
  <w:style w:type="character" w:customStyle="1" w:styleId="149">
    <w:name w:val="正文文本缩进 3 字符1"/>
    <w:link w:val="58"/>
    <w:autoRedefine/>
    <w:qFormat/>
    <w:uiPriority w:val="0"/>
    <w:rPr>
      <w:rFonts w:ascii="黑体" w:hAnsi="Times New Roman" w:eastAsia="黑体" w:cs="Times New Roman"/>
      <w:sz w:val="28"/>
      <w:szCs w:val="20"/>
    </w:rPr>
  </w:style>
  <w:style w:type="character" w:customStyle="1" w:styleId="150">
    <w:name w:val="正文文本 2 字符"/>
    <w:basedOn w:val="77"/>
    <w:autoRedefine/>
    <w:semiHidden/>
    <w:qFormat/>
    <w:uiPriority w:val="99"/>
    <w:rPr>
      <w:rFonts w:ascii="Times New Roman" w:hAnsi="Times New Roman" w:eastAsia="宋体" w:cs="Times New Roman"/>
      <w:szCs w:val="24"/>
    </w:rPr>
  </w:style>
  <w:style w:type="character" w:customStyle="1" w:styleId="151">
    <w:name w:val="正文文本 2 字符1"/>
    <w:link w:val="63"/>
    <w:autoRedefine/>
    <w:qFormat/>
    <w:uiPriority w:val="0"/>
    <w:rPr>
      <w:rFonts w:ascii="宋体" w:hAnsi="宋体" w:eastAsia="宋体" w:cs="Times New Roman"/>
      <w:kern w:val="0"/>
      <w:szCs w:val="32"/>
    </w:rPr>
  </w:style>
  <w:style w:type="character" w:customStyle="1" w:styleId="152">
    <w:name w:val="信息标题 字符"/>
    <w:basedOn w:val="77"/>
    <w:autoRedefine/>
    <w:semiHidden/>
    <w:qFormat/>
    <w:uiPriority w:val="99"/>
    <w:rPr>
      <w:rFonts w:asciiTheme="majorHAnsi" w:hAnsiTheme="majorHAnsi" w:eastAsiaTheme="majorEastAsia" w:cstheme="majorBidi"/>
      <w:sz w:val="24"/>
      <w:szCs w:val="24"/>
      <w:shd w:val="pct20" w:color="auto" w:fill="auto"/>
    </w:rPr>
  </w:style>
  <w:style w:type="character" w:customStyle="1" w:styleId="153">
    <w:name w:val="信息标题 字符1"/>
    <w:link w:val="66"/>
    <w:autoRedefine/>
    <w:qFormat/>
    <w:uiPriority w:val="0"/>
    <w:rPr>
      <w:rFonts w:ascii="Arial" w:hAnsi="Arial" w:eastAsia="MS Mincho" w:cs="Times New Roman"/>
      <w:kern w:val="0"/>
      <w:sz w:val="22"/>
      <w:szCs w:val="20"/>
      <w:lang w:val="en-GB" w:eastAsia="ja-JP"/>
    </w:rPr>
  </w:style>
  <w:style w:type="character" w:customStyle="1" w:styleId="154">
    <w:name w:val="HTML 预设格式 字符"/>
    <w:basedOn w:val="77"/>
    <w:autoRedefine/>
    <w:semiHidden/>
    <w:qFormat/>
    <w:uiPriority w:val="99"/>
    <w:rPr>
      <w:rFonts w:ascii="Courier New" w:hAnsi="Courier New" w:eastAsia="宋体" w:cs="Courier New"/>
      <w:sz w:val="20"/>
      <w:szCs w:val="20"/>
    </w:rPr>
  </w:style>
  <w:style w:type="character" w:customStyle="1" w:styleId="155">
    <w:name w:val="HTML 预设格式 字符1"/>
    <w:link w:val="67"/>
    <w:autoRedefine/>
    <w:qFormat/>
    <w:uiPriority w:val="0"/>
    <w:rPr>
      <w:rFonts w:ascii="Arial Unicode MS" w:hAnsi="Arial Unicode MS" w:eastAsia="Arial Unicode MS" w:cs="Times New Roman"/>
      <w:kern w:val="0"/>
      <w:sz w:val="20"/>
      <w:szCs w:val="20"/>
    </w:rPr>
  </w:style>
  <w:style w:type="character" w:customStyle="1" w:styleId="156">
    <w:name w:val="标题 字符"/>
    <w:basedOn w:val="77"/>
    <w:autoRedefine/>
    <w:qFormat/>
    <w:uiPriority w:val="10"/>
    <w:rPr>
      <w:rFonts w:asciiTheme="majorHAnsi" w:hAnsiTheme="majorHAnsi" w:eastAsiaTheme="majorEastAsia" w:cstheme="majorBidi"/>
      <w:b/>
      <w:bCs/>
      <w:sz w:val="32"/>
      <w:szCs w:val="32"/>
    </w:rPr>
  </w:style>
  <w:style w:type="character" w:customStyle="1" w:styleId="157">
    <w:name w:val="标题 字符1"/>
    <w:link w:val="71"/>
    <w:autoRedefine/>
    <w:qFormat/>
    <w:uiPriority w:val="0"/>
    <w:rPr>
      <w:rFonts w:ascii="Arial" w:hAnsi="Arial" w:eastAsia="宋体" w:cs="Times New Roman"/>
      <w:b/>
      <w:bCs/>
      <w:sz w:val="32"/>
      <w:szCs w:val="32"/>
    </w:rPr>
  </w:style>
  <w:style w:type="character" w:customStyle="1" w:styleId="158">
    <w:name w:val="批注主题 Char"/>
    <w:autoRedefine/>
    <w:semiHidden/>
    <w:qFormat/>
    <w:uiPriority w:val="0"/>
    <w:rPr>
      <w:rFonts w:ascii="Times New Roman" w:hAnsi="Times New Roman" w:eastAsia="宋体" w:cs="Times New Roman"/>
      <w:b/>
      <w:bCs/>
      <w:szCs w:val="24"/>
    </w:rPr>
  </w:style>
  <w:style w:type="character" w:customStyle="1" w:styleId="159">
    <w:name w:val="正文首行缩进 Char"/>
    <w:autoRedefine/>
    <w:qFormat/>
    <w:uiPriority w:val="0"/>
    <w:rPr>
      <w:rFonts w:ascii="仿宋_GB2312" w:hAnsi="Times New Roman" w:eastAsia="宋体" w:cs="Times New Roman"/>
      <w:sz w:val="24"/>
      <w:szCs w:val="24"/>
    </w:rPr>
  </w:style>
  <w:style w:type="paragraph" w:customStyle="1" w:styleId="160">
    <w:name w:val="样式 正文首行缩进 + 首行缩进:  2 字符1 Char Char"/>
    <w:basedOn w:val="1"/>
    <w:autoRedefine/>
    <w:qFormat/>
    <w:uiPriority w:val="0"/>
    <w:pPr>
      <w:adjustRightInd w:val="0"/>
      <w:spacing w:line="400" w:lineRule="exact"/>
      <w:ind w:firstLine="480" w:firstLineChars="200"/>
    </w:pPr>
    <w:rPr>
      <w:rFonts w:hint="eastAsia" w:ascii="宋体" w:hAnsi="宋体" w:eastAsia="仿宋_GB2312"/>
      <w:color w:val="000000"/>
      <w:sz w:val="26"/>
      <w:szCs w:val="20"/>
    </w:rPr>
  </w:style>
  <w:style w:type="character" w:customStyle="1" w:styleId="161">
    <w:name w:val="正文首行缩进 2 Char"/>
    <w:autoRedefine/>
    <w:qFormat/>
    <w:uiPriority w:val="0"/>
    <w:rPr>
      <w:rFonts w:ascii="黑体" w:hAnsi="宋体" w:eastAsia="宋体" w:cs="Times New Roman"/>
      <w:color w:val="000000"/>
      <w:szCs w:val="24"/>
    </w:rPr>
  </w:style>
  <w:style w:type="table" w:customStyle="1" w:styleId="162">
    <w:name w:val="网格型1"/>
    <w:basedOn w:val="7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3">
    <w:name w:val="表格标注 Char Char"/>
    <w:link w:val="164"/>
    <w:autoRedefine/>
    <w:qFormat/>
    <w:uiPriority w:val="0"/>
    <w:rPr>
      <w:rFonts w:eastAsia="宋体"/>
      <w:b/>
      <w:sz w:val="24"/>
      <w:szCs w:val="24"/>
    </w:rPr>
  </w:style>
  <w:style w:type="paragraph" w:customStyle="1" w:styleId="164">
    <w:name w:val="表格标注"/>
    <w:basedOn w:val="1"/>
    <w:link w:val="163"/>
    <w:autoRedefine/>
    <w:qFormat/>
    <w:uiPriority w:val="0"/>
    <w:pPr>
      <w:adjustRightInd w:val="0"/>
      <w:jc w:val="left"/>
      <w:textAlignment w:val="baseline"/>
    </w:pPr>
    <w:rPr>
      <w:rFonts w:asciiTheme="minorHAnsi" w:hAnsiTheme="minorHAnsi" w:cstheme="minorBidi"/>
      <w:b/>
      <w:sz w:val="24"/>
    </w:rPr>
  </w:style>
  <w:style w:type="character" w:customStyle="1" w:styleId="165">
    <w:name w:val="Ò³Ã¼ Char Char"/>
    <w:autoRedefine/>
    <w:qFormat/>
    <w:locked/>
    <w:uiPriority w:val="0"/>
    <w:rPr>
      <w:rFonts w:cs="Times New Roman"/>
      <w:sz w:val="18"/>
      <w:szCs w:val="18"/>
    </w:rPr>
  </w:style>
  <w:style w:type="character" w:customStyle="1" w:styleId="166">
    <w:name w:val="Table Text Char3"/>
    <w:link w:val="167"/>
    <w:autoRedefine/>
    <w:qFormat/>
    <w:uiPriority w:val="0"/>
    <w:rPr>
      <w:rFonts w:ascii="Arial" w:hAnsi="Arial" w:cs="Arial"/>
      <w:sz w:val="18"/>
      <w:szCs w:val="24"/>
    </w:rPr>
  </w:style>
  <w:style w:type="paragraph" w:customStyle="1" w:styleId="167">
    <w:name w:val="Table Text"/>
    <w:link w:val="166"/>
    <w:autoRedefine/>
    <w:qFormat/>
    <w:uiPriority w:val="0"/>
    <w:pPr>
      <w:snapToGrid w:val="0"/>
      <w:spacing w:before="80" w:after="80"/>
    </w:pPr>
    <w:rPr>
      <w:rFonts w:ascii="Arial" w:hAnsi="Arial" w:cs="Arial" w:eastAsiaTheme="minorEastAsia"/>
      <w:kern w:val="2"/>
      <w:sz w:val="18"/>
      <w:szCs w:val="24"/>
      <w:lang w:val="en-US" w:eastAsia="zh-CN" w:bidi="ar-SA"/>
    </w:rPr>
  </w:style>
  <w:style w:type="character" w:customStyle="1" w:styleId="168">
    <w:name w:val="Char Char12"/>
    <w:autoRedefine/>
    <w:qFormat/>
    <w:locked/>
    <w:uiPriority w:val="0"/>
    <w:rPr>
      <w:rFonts w:cs="Times New Roman"/>
      <w:sz w:val="18"/>
      <w:szCs w:val="18"/>
    </w:rPr>
  </w:style>
  <w:style w:type="character" w:customStyle="1" w:styleId="169">
    <w:name w:val="Char Char28"/>
    <w:autoRedefine/>
    <w:qFormat/>
    <w:uiPriority w:val="0"/>
    <w:rPr>
      <w:rFonts w:ascii="Times New Roman" w:hAnsi="Times New Roman" w:eastAsia="宋体" w:cs="Times New Roman"/>
      <w:sz w:val="18"/>
      <w:szCs w:val="18"/>
    </w:rPr>
  </w:style>
  <w:style w:type="character" w:customStyle="1" w:styleId="170">
    <w:name w:val="PMC Procedure Heading 2 Char"/>
    <w:link w:val="171"/>
    <w:autoRedefine/>
    <w:qFormat/>
    <w:uiPriority w:val="0"/>
    <w:rPr>
      <w:rFonts w:ascii="Arial Bold" w:hAnsi="Arial Bold"/>
      <w:b/>
      <w:bCs/>
      <w:sz w:val="22"/>
      <w:lang w:val="en-GB"/>
    </w:rPr>
  </w:style>
  <w:style w:type="paragraph" w:customStyle="1" w:styleId="171">
    <w:name w:val="PMC Procedure Heading 2"/>
    <w:basedOn w:val="3"/>
    <w:link w:val="170"/>
    <w:autoRedefine/>
    <w:qFormat/>
    <w:uiPriority w:val="0"/>
    <w:pPr>
      <w:widowControl/>
      <w:tabs>
        <w:tab w:val="left" w:pos="0"/>
      </w:tabs>
      <w:snapToGrid w:val="0"/>
      <w:spacing w:beforeLines="50" w:after="156" w:line="360" w:lineRule="auto"/>
      <w:ind w:hanging="720"/>
      <w:jc w:val="left"/>
    </w:pPr>
    <w:rPr>
      <w:rFonts w:ascii="Arial Bold" w:hAnsi="Arial Bold" w:eastAsiaTheme="minorEastAsia" w:cstheme="minorBidi"/>
      <w:sz w:val="22"/>
      <w:szCs w:val="22"/>
      <w:lang w:val="en-GB"/>
    </w:rPr>
  </w:style>
  <w:style w:type="character" w:customStyle="1" w:styleId="172">
    <w:name w:val="Normal01 Char"/>
    <w:link w:val="173"/>
    <w:autoRedefine/>
    <w:qFormat/>
    <w:uiPriority w:val="0"/>
    <w:rPr>
      <w:rFonts w:ascii="Times New Roman" w:hAnsi="Times New Roman" w:eastAsia="Times New Roman" w:cs="Times New Roman"/>
      <w:kern w:val="0"/>
      <w:sz w:val="22"/>
      <w:szCs w:val="20"/>
      <w:lang w:val="en-GB" w:eastAsia="en-US"/>
    </w:rPr>
  </w:style>
  <w:style w:type="paragraph" w:customStyle="1" w:styleId="173">
    <w:name w:val="Normal01"/>
    <w:link w:val="172"/>
    <w:autoRedefine/>
    <w:qFormat/>
    <w:uiPriority w:val="0"/>
    <w:pPr>
      <w:spacing w:before="48" w:after="48"/>
      <w:ind w:left="720"/>
      <w:jc w:val="both"/>
    </w:pPr>
    <w:rPr>
      <w:rFonts w:ascii="Times New Roman" w:hAnsi="Times New Roman" w:eastAsia="Times New Roman" w:cs="Times New Roman"/>
      <w:sz w:val="22"/>
      <w:lang w:val="en-GB" w:eastAsia="en-US" w:bidi="ar-SA"/>
    </w:rPr>
  </w:style>
  <w:style w:type="character" w:customStyle="1" w:styleId="174">
    <w:name w:val="6 Char"/>
    <w:autoRedefine/>
    <w:qFormat/>
    <w:uiPriority w:val="0"/>
    <w:rPr>
      <w:rFonts w:ascii="黑体" w:hAnsi="Tms Rmn" w:eastAsia="黑体"/>
      <w:spacing w:val="10"/>
      <w:sz w:val="28"/>
    </w:rPr>
  </w:style>
  <w:style w:type="character" w:customStyle="1" w:styleId="175">
    <w:name w:val="纯文本 Char Char Char Char"/>
    <w:autoRedefine/>
    <w:qFormat/>
    <w:uiPriority w:val="0"/>
    <w:rPr>
      <w:rFonts w:ascii="宋体" w:hAnsi="Courier New" w:eastAsia="宋体" w:cs="Courier New"/>
      <w:kern w:val="2"/>
      <w:sz w:val="21"/>
      <w:szCs w:val="21"/>
      <w:lang w:val="en-US" w:eastAsia="zh-CN" w:bidi="ar-SA"/>
    </w:rPr>
  </w:style>
  <w:style w:type="character" w:customStyle="1" w:styleId="176">
    <w:name w:val="标题 2 Char Char Char"/>
    <w:autoRedefine/>
    <w:qFormat/>
    <w:uiPriority w:val="0"/>
    <w:rPr>
      <w:rFonts w:ascii="Arial" w:hAnsi="Arial" w:eastAsia="黑体"/>
      <w:b/>
      <w:bCs/>
      <w:kern w:val="2"/>
      <w:sz w:val="32"/>
      <w:szCs w:val="32"/>
      <w:lang w:val="en-US" w:eastAsia="zh-CN" w:bidi="ar-SA"/>
    </w:rPr>
  </w:style>
  <w:style w:type="character" w:customStyle="1" w:styleId="177">
    <w:name w:val="Char Char26"/>
    <w:autoRedefine/>
    <w:qFormat/>
    <w:uiPriority w:val="0"/>
    <w:rPr>
      <w:rFonts w:ascii="Times New Roman" w:hAnsi="Times New Roman" w:eastAsia="宋体" w:cs="Times New Roman"/>
      <w:sz w:val="24"/>
      <w:szCs w:val="24"/>
    </w:rPr>
  </w:style>
  <w:style w:type="character" w:customStyle="1" w:styleId="178">
    <w:name w:val="PMC Procedure Normal Char"/>
    <w:link w:val="179"/>
    <w:autoRedefine/>
    <w:qFormat/>
    <w:uiPriority w:val="0"/>
    <w:rPr>
      <w:rFonts w:ascii="Arial" w:hAnsi="Arial"/>
      <w:sz w:val="22"/>
      <w:lang w:val="en-GB"/>
    </w:rPr>
  </w:style>
  <w:style w:type="paragraph" w:customStyle="1" w:styleId="179">
    <w:name w:val="PMC Procedure Normal"/>
    <w:basedOn w:val="1"/>
    <w:link w:val="178"/>
    <w:autoRedefine/>
    <w:qFormat/>
    <w:uiPriority w:val="0"/>
    <w:pPr>
      <w:widowControl/>
      <w:spacing w:after="120"/>
      <w:ind w:left="720"/>
    </w:pPr>
    <w:rPr>
      <w:rFonts w:ascii="Arial" w:hAnsi="Arial" w:eastAsiaTheme="minorEastAsia" w:cstheme="minorBidi"/>
      <w:sz w:val="22"/>
      <w:szCs w:val="22"/>
      <w:lang w:val="en-GB"/>
    </w:rPr>
  </w:style>
  <w:style w:type="character" w:customStyle="1" w:styleId="180">
    <w:name w:val="style51"/>
    <w:autoRedefine/>
    <w:qFormat/>
    <w:uiPriority w:val="0"/>
    <w:rPr>
      <w:color w:val="FF0000"/>
      <w:sz w:val="20"/>
      <w:szCs w:val="20"/>
    </w:rPr>
  </w:style>
  <w:style w:type="character" w:customStyle="1" w:styleId="181">
    <w:name w:val="D Char"/>
    <w:link w:val="182"/>
    <w:autoRedefine/>
    <w:qFormat/>
    <w:uiPriority w:val="0"/>
    <w:rPr>
      <w:rFonts w:ascii="Calibri" w:hAnsi="Calibri" w:eastAsia="宋体"/>
      <w:szCs w:val="24"/>
    </w:rPr>
  </w:style>
  <w:style w:type="paragraph" w:customStyle="1" w:styleId="182">
    <w:name w:val="D"/>
    <w:basedOn w:val="1"/>
    <w:link w:val="181"/>
    <w:autoRedefine/>
    <w:qFormat/>
    <w:uiPriority w:val="0"/>
    <w:rPr>
      <w:rFonts w:ascii="Calibri" w:hAnsi="Calibri" w:cstheme="minorBidi"/>
    </w:rPr>
  </w:style>
  <w:style w:type="character" w:customStyle="1" w:styleId="183">
    <w:name w:val="五宋 Char Char"/>
    <w:autoRedefine/>
    <w:qFormat/>
    <w:uiPriority w:val="0"/>
    <w:rPr>
      <w:rFonts w:eastAsia="宋体"/>
      <w:szCs w:val="21"/>
      <w:lang w:bidi="ar-SA"/>
    </w:rPr>
  </w:style>
  <w:style w:type="character" w:customStyle="1" w:styleId="184">
    <w:name w:val="正文(顶格) Char"/>
    <w:link w:val="185"/>
    <w:autoRedefine/>
    <w:qFormat/>
    <w:uiPriority w:val="0"/>
    <w:rPr>
      <w:rFonts w:ascii="Calibri" w:hAnsi="Calibri" w:eastAsia="宋体"/>
      <w:sz w:val="24"/>
      <w:szCs w:val="24"/>
    </w:rPr>
  </w:style>
  <w:style w:type="paragraph" w:customStyle="1" w:styleId="185">
    <w:name w:val="正文(顶格)"/>
    <w:basedOn w:val="1"/>
    <w:link w:val="184"/>
    <w:autoRedefine/>
    <w:qFormat/>
    <w:uiPriority w:val="0"/>
    <w:pPr>
      <w:spacing w:line="360" w:lineRule="auto"/>
    </w:pPr>
    <w:rPr>
      <w:rFonts w:ascii="Calibri" w:hAnsi="Calibri" w:cstheme="minorBidi"/>
      <w:sz w:val="24"/>
    </w:rPr>
  </w:style>
  <w:style w:type="character" w:customStyle="1" w:styleId="186">
    <w:name w:val="Figure caption Char"/>
    <w:autoRedefine/>
    <w:qFormat/>
    <w:uiPriority w:val="0"/>
    <w:rPr>
      <w:rFonts w:ascii="宋体" w:hAnsi="Tms Rmn"/>
      <w:spacing w:val="10"/>
      <w:sz w:val="28"/>
    </w:rPr>
  </w:style>
  <w:style w:type="character" w:customStyle="1" w:styleId="187">
    <w:name w:val="标题1 Char Char"/>
    <w:autoRedefine/>
    <w:qFormat/>
    <w:uiPriority w:val="0"/>
    <w:rPr>
      <w:rFonts w:ascii="宋体" w:hAnsi="Courier New" w:eastAsia="宋体"/>
      <w:kern w:val="2"/>
      <w:sz w:val="21"/>
      <w:lang w:val="en-US" w:eastAsia="zh-CN" w:bidi="ar-SA"/>
    </w:rPr>
  </w:style>
  <w:style w:type="character" w:customStyle="1" w:styleId="188">
    <w:name w:val="编号2 Char Char"/>
    <w:link w:val="189"/>
    <w:autoRedefine/>
    <w:qFormat/>
    <w:uiPriority w:val="0"/>
    <w:rPr>
      <w:rFonts w:eastAsia="宋体"/>
      <w:sz w:val="24"/>
      <w:szCs w:val="24"/>
    </w:rPr>
  </w:style>
  <w:style w:type="paragraph" w:customStyle="1" w:styleId="189">
    <w:name w:val="编号2"/>
    <w:basedOn w:val="1"/>
    <w:link w:val="188"/>
    <w:autoRedefine/>
    <w:qFormat/>
    <w:uiPriority w:val="0"/>
    <w:pPr>
      <w:tabs>
        <w:tab w:val="left" w:pos="0"/>
      </w:tabs>
      <w:spacing w:line="360" w:lineRule="auto"/>
      <w:ind w:firstLine="420"/>
    </w:pPr>
    <w:rPr>
      <w:rFonts w:asciiTheme="minorHAnsi" w:hAnsiTheme="minorHAnsi" w:cstheme="minorBidi"/>
      <w:sz w:val="24"/>
    </w:rPr>
  </w:style>
  <w:style w:type="character" w:customStyle="1" w:styleId="190">
    <w:name w:val="C Char Char"/>
    <w:link w:val="191"/>
    <w:autoRedefine/>
    <w:qFormat/>
    <w:uiPriority w:val="0"/>
    <w:rPr>
      <w:rFonts w:ascii="Calibri" w:hAnsi="Calibri"/>
      <w:szCs w:val="24"/>
    </w:rPr>
  </w:style>
  <w:style w:type="paragraph" w:customStyle="1" w:styleId="191">
    <w:name w:val="C"/>
    <w:basedOn w:val="1"/>
    <w:link w:val="190"/>
    <w:autoRedefine/>
    <w:qFormat/>
    <w:uiPriority w:val="0"/>
    <w:pPr>
      <w:tabs>
        <w:tab w:val="left" w:pos="2551"/>
      </w:tabs>
    </w:pPr>
    <w:rPr>
      <w:rFonts w:ascii="Calibri" w:hAnsi="Calibri" w:eastAsiaTheme="minorEastAsia" w:cstheme="minorBidi"/>
    </w:rPr>
  </w:style>
  <w:style w:type="character" w:customStyle="1" w:styleId="192">
    <w:name w:val="标题5 Char"/>
    <w:link w:val="193"/>
    <w:autoRedefine/>
    <w:qFormat/>
    <w:uiPriority w:val="0"/>
    <w:rPr>
      <w:rFonts w:ascii="宋体" w:hAnsi="宋体" w:eastAsia="宋体"/>
      <w:b/>
      <w:bCs/>
      <w:sz w:val="24"/>
      <w:szCs w:val="32"/>
    </w:rPr>
  </w:style>
  <w:style w:type="paragraph" w:customStyle="1" w:styleId="193">
    <w:name w:val="标题5"/>
    <w:basedOn w:val="10"/>
    <w:link w:val="192"/>
    <w:autoRedefine/>
    <w:qFormat/>
    <w:uiPriority w:val="0"/>
    <w:pPr>
      <w:keepNext/>
      <w:keepLines/>
      <w:tabs>
        <w:tab w:val="left" w:pos="567"/>
      </w:tabs>
      <w:spacing w:before="260" w:after="260"/>
      <w:ind w:left="936" w:hanging="680" w:firstLineChars="0"/>
      <w:textAlignment w:val="baseline"/>
      <w:outlineLvl w:val="4"/>
    </w:pPr>
    <w:rPr>
      <w:rFonts w:ascii="宋体" w:hAnsi="宋体" w:cstheme="minorBidi"/>
      <w:sz w:val="24"/>
      <w:szCs w:val="32"/>
    </w:rPr>
  </w:style>
  <w:style w:type="character" w:customStyle="1" w:styleId="194">
    <w:name w:val="标题 2 Char1"/>
    <w:autoRedefine/>
    <w:qFormat/>
    <w:uiPriority w:val="0"/>
    <w:rPr>
      <w:rFonts w:ascii="Arial" w:hAnsi="Arial" w:eastAsia="黑体"/>
      <w:b/>
      <w:bCs/>
      <w:kern w:val="2"/>
      <w:sz w:val="32"/>
      <w:szCs w:val="32"/>
      <w:lang w:val="en-US" w:eastAsia="zh-CN" w:bidi="ar-SA"/>
    </w:rPr>
  </w:style>
  <w:style w:type="character" w:customStyle="1" w:styleId="195">
    <w:name w:val="PMC Procedure Normal 1 Char"/>
    <w:link w:val="196"/>
    <w:autoRedefine/>
    <w:qFormat/>
    <w:uiPriority w:val="0"/>
    <w:rPr>
      <w:rFonts w:ascii="Arial" w:hAnsi="Arial" w:eastAsia="宋体"/>
      <w:sz w:val="22"/>
      <w:lang w:val="en-GB"/>
    </w:rPr>
  </w:style>
  <w:style w:type="paragraph" w:customStyle="1" w:styleId="196">
    <w:name w:val="PMC Procedure Normal 1"/>
    <w:basedOn w:val="1"/>
    <w:link w:val="195"/>
    <w:autoRedefine/>
    <w:qFormat/>
    <w:uiPriority w:val="0"/>
    <w:pPr>
      <w:widowControl/>
      <w:adjustRightInd w:val="0"/>
      <w:spacing w:afterLines="50"/>
      <w:ind w:left="1140"/>
    </w:pPr>
    <w:rPr>
      <w:rFonts w:ascii="Arial" w:hAnsi="Arial" w:cstheme="minorBidi"/>
      <w:sz w:val="22"/>
      <w:szCs w:val="22"/>
      <w:lang w:val="en-GB"/>
    </w:rPr>
  </w:style>
  <w:style w:type="character" w:customStyle="1" w:styleId="197">
    <w:name w:val="Table caption Char"/>
    <w:autoRedefine/>
    <w:qFormat/>
    <w:uiPriority w:val="0"/>
    <w:rPr>
      <w:rFonts w:ascii="黑体" w:hAnsi="Tms Rmn" w:eastAsia="黑体"/>
      <w:spacing w:val="10"/>
      <w:sz w:val="28"/>
    </w:rPr>
  </w:style>
  <w:style w:type="character" w:customStyle="1" w:styleId="198">
    <w:name w:val="正文文字缩进 Char"/>
    <w:autoRedefine/>
    <w:qFormat/>
    <w:uiPriority w:val="0"/>
    <w:rPr>
      <w:rFonts w:eastAsia="宋体"/>
      <w:kern w:val="2"/>
      <w:sz w:val="21"/>
      <w:szCs w:val="21"/>
      <w:lang w:val="en-US" w:eastAsia="zh-CN" w:bidi="ar-SA"/>
    </w:rPr>
  </w:style>
  <w:style w:type="character" w:customStyle="1" w:styleId="199">
    <w:name w:val="Header Char"/>
    <w:autoRedefine/>
    <w:qFormat/>
    <w:uiPriority w:val="0"/>
    <w:rPr>
      <w:rFonts w:eastAsia="宋体"/>
      <w:kern w:val="2"/>
      <w:sz w:val="18"/>
      <w:lang w:val="en-US" w:eastAsia="zh-CN" w:bidi="ar-SA"/>
    </w:rPr>
  </w:style>
  <w:style w:type="character" w:customStyle="1" w:styleId="200">
    <w:name w:val="Table Text Char Char"/>
    <w:link w:val="201"/>
    <w:autoRedefine/>
    <w:qFormat/>
    <w:uiPriority w:val="0"/>
    <w:rPr>
      <w:rFonts w:ascii="Arial" w:hAnsi="Arial"/>
      <w:sz w:val="18"/>
      <w:szCs w:val="18"/>
    </w:rPr>
  </w:style>
  <w:style w:type="paragraph" w:customStyle="1" w:styleId="201">
    <w:name w:val="Table Text Char"/>
    <w:link w:val="200"/>
    <w:autoRedefine/>
    <w:qFormat/>
    <w:uiPriority w:val="0"/>
    <w:pPr>
      <w:snapToGrid w:val="0"/>
      <w:spacing w:before="80" w:after="80"/>
    </w:pPr>
    <w:rPr>
      <w:rFonts w:ascii="Arial" w:hAnsi="Arial" w:eastAsiaTheme="minorEastAsia" w:cstheme="minorBidi"/>
      <w:kern w:val="2"/>
      <w:sz w:val="18"/>
      <w:szCs w:val="18"/>
      <w:lang w:val="en-US" w:eastAsia="zh-CN" w:bidi="ar-SA"/>
    </w:rPr>
  </w:style>
  <w:style w:type="character" w:customStyle="1" w:styleId="202">
    <w:name w:val="main11"/>
    <w:autoRedefine/>
    <w:qFormat/>
    <w:uiPriority w:val="0"/>
    <w:rPr>
      <w:sz w:val="22"/>
      <w:szCs w:val="22"/>
    </w:rPr>
  </w:style>
  <w:style w:type="character" w:customStyle="1" w:styleId="203">
    <w:name w:val="正文(缩进) Char"/>
    <w:link w:val="204"/>
    <w:autoRedefine/>
    <w:qFormat/>
    <w:uiPriority w:val="0"/>
    <w:rPr>
      <w:rFonts w:ascii="Calibri" w:hAnsi="Calibri" w:eastAsia="宋体"/>
      <w:sz w:val="24"/>
      <w:szCs w:val="24"/>
    </w:rPr>
  </w:style>
  <w:style w:type="paragraph" w:customStyle="1" w:styleId="204">
    <w:name w:val="正文(缩进)"/>
    <w:basedOn w:val="1"/>
    <w:link w:val="203"/>
    <w:autoRedefine/>
    <w:qFormat/>
    <w:uiPriority w:val="0"/>
    <w:pPr>
      <w:spacing w:line="360" w:lineRule="auto"/>
      <w:ind w:firstLine="200" w:firstLineChars="200"/>
    </w:pPr>
    <w:rPr>
      <w:rFonts w:ascii="Calibri" w:hAnsi="Calibri" w:cstheme="minorBidi"/>
      <w:sz w:val="24"/>
    </w:rPr>
  </w:style>
  <w:style w:type="character" w:customStyle="1" w:styleId="205">
    <w:name w:val="B Char Char"/>
    <w:link w:val="206"/>
    <w:autoRedefine/>
    <w:qFormat/>
    <w:uiPriority w:val="0"/>
    <w:rPr>
      <w:rFonts w:ascii="Calibri" w:hAnsi="Calibri"/>
      <w:b/>
      <w:bCs/>
      <w:szCs w:val="24"/>
    </w:rPr>
  </w:style>
  <w:style w:type="paragraph" w:customStyle="1" w:styleId="206">
    <w:name w:val="B"/>
    <w:basedOn w:val="1"/>
    <w:link w:val="205"/>
    <w:autoRedefine/>
    <w:qFormat/>
    <w:uiPriority w:val="0"/>
    <w:pPr>
      <w:tabs>
        <w:tab w:val="left" w:pos="840"/>
      </w:tabs>
    </w:pPr>
    <w:rPr>
      <w:rFonts w:ascii="Calibri" w:hAnsi="Calibri" w:eastAsiaTheme="minorEastAsia" w:cstheme="minorBidi"/>
      <w:b/>
      <w:bCs/>
    </w:rPr>
  </w:style>
  <w:style w:type="character" w:customStyle="1" w:styleId="207">
    <w:name w:val="5 Char"/>
    <w:autoRedefine/>
    <w:qFormat/>
    <w:uiPriority w:val="0"/>
    <w:rPr>
      <w:rFonts w:ascii="宋体" w:hAnsi="Tms Rmn"/>
      <w:b/>
      <w:spacing w:val="10"/>
      <w:sz w:val="28"/>
    </w:rPr>
  </w:style>
  <w:style w:type="character" w:customStyle="1" w:styleId="208">
    <w:name w:val="t21"/>
    <w:autoRedefine/>
    <w:qFormat/>
    <w:uiPriority w:val="0"/>
    <w:rPr>
      <w:rFonts w:hint="default" w:ascii="ˎ̥" w:hAnsi="ˎ̥"/>
      <w:color w:val="660099"/>
      <w:spacing w:val="30"/>
      <w:sz w:val="20"/>
      <w:szCs w:val="20"/>
      <w:u w:val="none"/>
    </w:rPr>
  </w:style>
  <w:style w:type="character" w:customStyle="1" w:styleId="209">
    <w:name w:val="notetitle"/>
    <w:autoRedefine/>
    <w:qFormat/>
    <w:uiPriority w:val="0"/>
  </w:style>
  <w:style w:type="character" w:customStyle="1" w:styleId="210">
    <w:name w:val="样式一"/>
    <w:autoRedefine/>
    <w:qFormat/>
    <w:uiPriority w:val="0"/>
    <w:rPr>
      <w:rFonts w:ascii="宋体" w:hAnsi="宋体"/>
      <w:b/>
      <w:bCs/>
      <w:color w:val="000000"/>
      <w:sz w:val="36"/>
    </w:rPr>
  </w:style>
  <w:style w:type="character" w:customStyle="1" w:styleId="211">
    <w:name w:val="Footer-Even Char"/>
    <w:autoRedefine/>
    <w:qFormat/>
    <w:uiPriority w:val="0"/>
    <w:rPr>
      <w:kern w:val="2"/>
      <w:sz w:val="18"/>
      <w:szCs w:val="18"/>
    </w:rPr>
  </w:style>
  <w:style w:type="character" w:customStyle="1" w:styleId="212">
    <w:name w:val="正文1 Char"/>
    <w:link w:val="213"/>
    <w:autoRedefine/>
    <w:qFormat/>
    <w:uiPriority w:val="0"/>
    <w:rPr>
      <w:rFonts w:ascii="宋体" w:hAnsi="宋体" w:eastAsia="宋体"/>
      <w:sz w:val="24"/>
    </w:rPr>
  </w:style>
  <w:style w:type="paragraph" w:customStyle="1" w:styleId="213">
    <w:name w:val="正文1"/>
    <w:basedOn w:val="1"/>
    <w:link w:val="212"/>
    <w:autoRedefine/>
    <w:qFormat/>
    <w:uiPriority w:val="0"/>
    <w:pPr>
      <w:adjustRightInd w:val="0"/>
      <w:ind w:firstLine="420"/>
      <w:textAlignment w:val="baseline"/>
    </w:pPr>
    <w:rPr>
      <w:rFonts w:ascii="宋体" w:hAnsi="宋体" w:cstheme="minorBidi"/>
      <w:sz w:val="24"/>
      <w:szCs w:val="22"/>
    </w:rPr>
  </w:style>
  <w:style w:type="character" w:customStyle="1" w:styleId="214">
    <w:name w:val="9 Char"/>
    <w:autoRedefine/>
    <w:qFormat/>
    <w:uiPriority w:val="0"/>
    <w:rPr>
      <w:rFonts w:ascii="黑体" w:hAnsi="Tms Rmn" w:eastAsia="黑体"/>
      <w:spacing w:val="10"/>
      <w:sz w:val="28"/>
    </w:rPr>
  </w:style>
  <w:style w:type="character" w:customStyle="1" w:styleId="215">
    <w:name w:val="PMC Procedure Normal 2 Char"/>
    <w:link w:val="216"/>
    <w:autoRedefine/>
    <w:qFormat/>
    <w:uiPriority w:val="0"/>
    <w:rPr>
      <w:rFonts w:ascii="Arial" w:hAnsi="Arial" w:eastAsia="宋体"/>
      <w:sz w:val="22"/>
    </w:rPr>
  </w:style>
  <w:style w:type="paragraph" w:customStyle="1" w:styleId="216">
    <w:name w:val="PMC Procedure Normal 2"/>
    <w:basedOn w:val="1"/>
    <w:link w:val="215"/>
    <w:autoRedefine/>
    <w:qFormat/>
    <w:uiPriority w:val="0"/>
    <w:pPr>
      <w:widowControl/>
      <w:adjustRightInd w:val="0"/>
      <w:spacing w:afterLines="50"/>
      <w:ind w:left="1440"/>
    </w:pPr>
    <w:rPr>
      <w:rFonts w:ascii="Arial" w:hAnsi="Arial" w:cstheme="minorBidi"/>
      <w:sz w:val="22"/>
      <w:szCs w:val="22"/>
    </w:rPr>
  </w:style>
  <w:style w:type="character" w:customStyle="1" w:styleId="217">
    <w:name w:val="bcopy1"/>
    <w:autoRedefine/>
    <w:qFormat/>
    <w:uiPriority w:val="0"/>
    <w:rPr>
      <w:rFonts w:hint="default" w:ascii="Arial" w:hAnsi="Arial" w:cs="Arial"/>
      <w:sz w:val="18"/>
      <w:szCs w:val="18"/>
    </w:rPr>
  </w:style>
  <w:style w:type="character" w:customStyle="1" w:styleId="218">
    <w:name w:val="样式 样式 标题 3 + (中文) 黑体 Char + (中文) 宋体 小四 Char Char Char Char Char Char"/>
    <w:link w:val="219"/>
    <w:autoRedefine/>
    <w:qFormat/>
    <w:uiPriority w:val="0"/>
    <w:rPr>
      <w:rFonts w:ascii="宋体" w:hAnsi="Courier New" w:eastAsia="宋体" w:cs="Courier New"/>
      <w:sz w:val="24"/>
      <w:szCs w:val="21"/>
    </w:rPr>
  </w:style>
  <w:style w:type="paragraph" w:customStyle="1" w:styleId="219">
    <w:name w:val="样式 样式 标题 3 + (中文) 黑体 Char + (中文) 宋体 小四 Char Char Char Char Char"/>
    <w:basedOn w:val="1"/>
    <w:link w:val="218"/>
    <w:autoRedefine/>
    <w:qFormat/>
    <w:uiPriority w:val="0"/>
    <w:pPr>
      <w:spacing w:line="400" w:lineRule="exact"/>
      <w:ind w:left="400" w:leftChars="400"/>
    </w:pPr>
    <w:rPr>
      <w:rFonts w:ascii="宋体" w:hAnsi="Courier New" w:cs="Courier New"/>
      <w:sz w:val="24"/>
      <w:szCs w:val="21"/>
    </w:rPr>
  </w:style>
  <w:style w:type="character" w:customStyle="1" w:styleId="220">
    <w:name w:val="正文文字 Char Char"/>
    <w:autoRedefine/>
    <w:qFormat/>
    <w:uiPriority w:val="0"/>
    <w:rPr>
      <w:rFonts w:ascii="仿宋_GB2312" w:eastAsia="仿宋_GB2312"/>
      <w:kern w:val="2"/>
      <w:sz w:val="32"/>
    </w:rPr>
  </w:style>
  <w:style w:type="character" w:customStyle="1" w:styleId="221">
    <w:name w:val="列表编号3 Char"/>
    <w:autoRedefine/>
    <w:qFormat/>
    <w:uiPriority w:val="0"/>
    <w:rPr>
      <w:b/>
      <w:bCs/>
      <w:kern w:val="2"/>
      <w:sz w:val="32"/>
      <w:szCs w:val="32"/>
    </w:rPr>
  </w:style>
  <w:style w:type="character" w:customStyle="1" w:styleId="222">
    <w:name w:val="h31"/>
    <w:autoRedefine/>
    <w:qFormat/>
    <w:uiPriority w:val="0"/>
    <w:rPr>
      <w:b/>
      <w:bCs/>
      <w:sz w:val="15"/>
      <w:szCs w:val="15"/>
    </w:rPr>
  </w:style>
  <w:style w:type="character" w:customStyle="1" w:styleId="223">
    <w:name w:val="tytytyty Char1"/>
    <w:link w:val="224"/>
    <w:autoRedefine/>
    <w:qFormat/>
    <w:uiPriority w:val="0"/>
    <w:rPr>
      <w:sz w:val="24"/>
      <w:szCs w:val="24"/>
    </w:rPr>
  </w:style>
  <w:style w:type="paragraph" w:customStyle="1" w:styleId="224">
    <w:name w:val="tytytyty"/>
    <w:basedOn w:val="1"/>
    <w:link w:val="223"/>
    <w:autoRedefine/>
    <w:qFormat/>
    <w:uiPriority w:val="0"/>
    <w:pPr>
      <w:widowControl/>
      <w:ind w:left="359" w:leftChars="171" w:firstLine="480" w:firstLineChars="200"/>
      <w:jc w:val="left"/>
    </w:pPr>
    <w:rPr>
      <w:rFonts w:asciiTheme="minorHAnsi" w:hAnsiTheme="minorHAnsi" w:eastAsiaTheme="minorEastAsia" w:cstheme="minorBidi"/>
      <w:sz w:val="24"/>
    </w:rPr>
  </w:style>
  <w:style w:type="character" w:customStyle="1" w:styleId="225">
    <w:name w:val="ABCDEunbold Char"/>
    <w:link w:val="226"/>
    <w:autoRedefine/>
    <w:qFormat/>
    <w:uiPriority w:val="0"/>
    <w:rPr>
      <w:rFonts w:ascii="Calibri" w:hAnsi="Calibri"/>
      <w:b/>
      <w:sz w:val="22"/>
      <w:lang w:val="en-GB" w:eastAsia="en-US"/>
    </w:rPr>
  </w:style>
  <w:style w:type="paragraph" w:customStyle="1" w:styleId="226">
    <w:name w:val="ABCDEunbold"/>
    <w:basedOn w:val="227"/>
    <w:link w:val="225"/>
    <w:autoRedefine/>
    <w:qFormat/>
    <w:uiPriority w:val="0"/>
    <w:pPr>
      <w:tabs>
        <w:tab w:val="left" w:pos="284"/>
        <w:tab w:val="left" w:pos="1858"/>
      </w:tabs>
      <w:ind w:left="0" w:firstLine="284"/>
    </w:pPr>
    <w:rPr>
      <w:rFonts w:eastAsiaTheme="minorEastAsia" w:cstheme="minorBidi"/>
    </w:rPr>
  </w:style>
  <w:style w:type="paragraph" w:customStyle="1" w:styleId="227">
    <w:name w:val="ABCDE"/>
    <w:basedOn w:val="173"/>
    <w:link w:val="228"/>
    <w:autoRedefine/>
    <w:qFormat/>
    <w:uiPriority w:val="0"/>
    <w:pPr>
      <w:tabs>
        <w:tab w:val="left" w:pos="1858"/>
      </w:tabs>
      <w:spacing w:before="120" w:after="0"/>
      <w:ind w:left="780" w:hanging="360"/>
    </w:pPr>
    <w:rPr>
      <w:rFonts w:ascii="Calibri" w:hAnsi="Calibri" w:eastAsia="宋体"/>
      <w:b/>
      <w:kern w:val="2"/>
      <w:szCs w:val="22"/>
    </w:rPr>
  </w:style>
  <w:style w:type="character" w:customStyle="1" w:styleId="228">
    <w:name w:val="ABCDE Char"/>
    <w:link w:val="227"/>
    <w:autoRedefine/>
    <w:qFormat/>
    <w:uiPriority w:val="0"/>
    <w:rPr>
      <w:rFonts w:ascii="Calibri" w:hAnsi="Calibri" w:eastAsia="宋体" w:cs="Times New Roman"/>
      <w:b/>
      <w:sz w:val="22"/>
      <w:lang w:val="en-GB" w:eastAsia="en-US"/>
    </w:rPr>
  </w:style>
  <w:style w:type="character" w:customStyle="1" w:styleId="229">
    <w:name w:val="Char Char17"/>
    <w:autoRedefine/>
    <w:qFormat/>
    <w:uiPriority w:val="0"/>
    <w:rPr>
      <w:rFonts w:ascii="Times New Roman" w:hAnsi="Times New Roman" w:eastAsia="宋体" w:cs="Times New Roman"/>
      <w:sz w:val="18"/>
      <w:szCs w:val="18"/>
    </w:rPr>
  </w:style>
  <w:style w:type="character" w:customStyle="1" w:styleId="230">
    <w:name w:val="样式二"/>
    <w:autoRedefine/>
    <w:qFormat/>
    <w:uiPriority w:val="0"/>
    <w:rPr>
      <w:rFonts w:ascii="宋体" w:hAnsi="宋体"/>
      <w:b/>
      <w:bCs/>
      <w:color w:val="000000"/>
      <w:sz w:val="36"/>
    </w:rPr>
  </w:style>
  <w:style w:type="character" w:customStyle="1" w:styleId="231">
    <w:name w:val="编号1 Char"/>
    <w:link w:val="232"/>
    <w:autoRedefine/>
    <w:qFormat/>
    <w:uiPriority w:val="0"/>
    <w:rPr>
      <w:rFonts w:eastAsia="宋体"/>
      <w:sz w:val="24"/>
      <w:szCs w:val="24"/>
    </w:rPr>
  </w:style>
  <w:style w:type="paragraph" w:customStyle="1" w:styleId="232">
    <w:name w:val="编号1"/>
    <w:basedOn w:val="1"/>
    <w:link w:val="231"/>
    <w:autoRedefine/>
    <w:qFormat/>
    <w:uiPriority w:val="0"/>
    <w:pPr>
      <w:tabs>
        <w:tab w:val="left" w:pos="420"/>
      </w:tabs>
      <w:spacing w:line="360" w:lineRule="auto"/>
      <w:ind w:firstLine="480"/>
    </w:pPr>
    <w:rPr>
      <w:rFonts w:asciiTheme="minorHAnsi" w:hAnsiTheme="minorHAnsi" w:cstheme="minorBidi"/>
      <w:sz w:val="24"/>
    </w:rPr>
  </w:style>
  <w:style w:type="character" w:customStyle="1" w:styleId="233">
    <w:name w:val="正文aa Char"/>
    <w:link w:val="234"/>
    <w:autoRedefine/>
    <w:qFormat/>
    <w:uiPriority w:val="0"/>
    <w:rPr>
      <w:rFonts w:ascii="Calibri" w:hAnsi="Calibri" w:eastAsia="宋体"/>
      <w:sz w:val="24"/>
      <w:szCs w:val="24"/>
    </w:rPr>
  </w:style>
  <w:style w:type="paragraph" w:customStyle="1" w:styleId="234">
    <w:name w:val="正文aa"/>
    <w:basedOn w:val="1"/>
    <w:link w:val="233"/>
    <w:autoRedefine/>
    <w:qFormat/>
    <w:uiPriority w:val="0"/>
    <w:pPr>
      <w:spacing w:line="360" w:lineRule="auto"/>
      <w:ind w:firstLine="200" w:firstLineChars="200"/>
    </w:pPr>
    <w:rPr>
      <w:rFonts w:ascii="Calibri" w:hAnsi="Calibri" w:cstheme="minorBidi"/>
      <w:sz w:val="24"/>
    </w:rPr>
  </w:style>
  <w:style w:type="character" w:customStyle="1" w:styleId="235">
    <w:name w:val="AMEC Text Char"/>
    <w:link w:val="236"/>
    <w:autoRedefine/>
    <w:qFormat/>
    <w:uiPriority w:val="0"/>
    <w:rPr>
      <w:rFonts w:ascii="Arial" w:hAnsi="Arial" w:eastAsia="宋体"/>
      <w:sz w:val="22"/>
      <w:szCs w:val="24"/>
      <w:lang w:val="en-GB" w:eastAsia="en-US"/>
    </w:rPr>
  </w:style>
  <w:style w:type="paragraph" w:customStyle="1" w:styleId="236">
    <w:name w:val="AMEC Text"/>
    <w:basedOn w:val="1"/>
    <w:link w:val="235"/>
    <w:autoRedefine/>
    <w:qFormat/>
    <w:uiPriority w:val="0"/>
    <w:pPr>
      <w:widowControl/>
      <w:spacing w:after="120"/>
      <w:ind w:left="720"/>
    </w:pPr>
    <w:rPr>
      <w:rFonts w:ascii="Arial" w:hAnsi="Arial" w:cstheme="minorBidi"/>
      <w:sz w:val="22"/>
      <w:lang w:val="en-GB" w:eastAsia="en-US"/>
    </w:rPr>
  </w:style>
  <w:style w:type="character" w:customStyle="1" w:styleId="237">
    <w:name w:val="正文（1） Char"/>
    <w:link w:val="238"/>
    <w:autoRedefine/>
    <w:qFormat/>
    <w:uiPriority w:val="0"/>
    <w:rPr>
      <w:rFonts w:ascii="Arial" w:hAnsi="Arial" w:eastAsia="宋体"/>
      <w:sz w:val="24"/>
      <w:szCs w:val="24"/>
    </w:rPr>
  </w:style>
  <w:style w:type="paragraph" w:customStyle="1" w:styleId="238">
    <w:name w:val="正文（1）"/>
    <w:basedOn w:val="1"/>
    <w:link w:val="237"/>
    <w:autoRedefine/>
    <w:qFormat/>
    <w:uiPriority w:val="0"/>
    <w:pPr>
      <w:spacing w:line="360" w:lineRule="auto"/>
    </w:pPr>
    <w:rPr>
      <w:rFonts w:ascii="Arial" w:hAnsi="Arial" w:cstheme="minorBidi"/>
      <w:sz w:val="24"/>
    </w:rPr>
  </w:style>
  <w:style w:type="character" w:customStyle="1" w:styleId="239">
    <w:name w:val="Alt+M Char Char"/>
    <w:autoRedefine/>
    <w:qFormat/>
    <w:uiPriority w:val="0"/>
    <w:rPr>
      <w:rFonts w:ascii="Arial" w:hAnsi="Arial"/>
      <w:sz w:val="18"/>
      <w:szCs w:val="18"/>
      <w:lang w:val="en-US" w:eastAsia="zh-CN" w:bidi="ar-SA"/>
    </w:rPr>
  </w:style>
  <w:style w:type="character" w:customStyle="1" w:styleId="240">
    <w:name w:val="PMC Procedure Heading 1 Char"/>
    <w:link w:val="241"/>
    <w:autoRedefine/>
    <w:qFormat/>
    <w:uiPriority w:val="0"/>
    <w:rPr>
      <w:rFonts w:ascii="Arial" w:hAnsi="Arial" w:eastAsia="Arial"/>
      <w:b/>
      <w:caps/>
      <w:sz w:val="24"/>
      <w:szCs w:val="24"/>
      <w:lang w:val="en-GB" w:eastAsia="en-US"/>
    </w:rPr>
  </w:style>
  <w:style w:type="paragraph" w:customStyle="1" w:styleId="241">
    <w:name w:val="PMC Procedure Heading 1"/>
    <w:basedOn w:val="2"/>
    <w:link w:val="240"/>
    <w:autoRedefine/>
    <w:qFormat/>
    <w:uiPriority w:val="0"/>
    <w:pPr>
      <w:keepLines/>
      <w:widowControl/>
      <w:tabs>
        <w:tab w:val="left" w:pos="720"/>
      </w:tabs>
      <w:spacing w:before="240" w:after="240"/>
      <w:jc w:val="left"/>
    </w:pPr>
    <w:rPr>
      <w:rFonts w:ascii="Arial" w:hAnsi="Arial" w:eastAsia="Arial" w:cstheme="minorBidi"/>
      <w:b/>
      <w:caps/>
      <w:sz w:val="24"/>
      <w:szCs w:val="24"/>
      <w:lang w:val="en-GB" w:eastAsia="en-US"/>
    </w:rPr>
  </w:style>
  <w:style w:type="character" w:customStyle="1" w:styleId="242">
    <w:name w:val="样式 样式 正文(缩进) + 蓝色 首行缩进:  2 字符 + 自动设置 Char"/>
    <w:link w:val="243"/>
    <w:autoRedefine/>
    <w:qFormat/>
    <w:uiPriority w:val="0"/>
    <w:rPr>
      <w:rFonts w:ascii="Calibri" w:hAnsi="Calibri" w:eastAsia="宋体" w:cs="宋体"/>
      <w:sz w:val="24"/>
    </w:rPr>
  </w:style>
  <w:style w:type="paragraph" w:customStyle="1" w:styleId="243">
    <w:name w:val="样式 样式 正文(缩进) + 蓝色 首行缩进:  2 字符 + 自动设置"/>
    <w:basedOn w:val="1"/>
    <w:link w:val="242"/>
    <w:autoRedefine/>
    <w:qFormat/>
    <w:uiPriority w:val="0"/>
    <w:pPr>
      <w:spacing w:line="360" w:lineRule="auto"/>
      <w:ind w:firstLine="480" w:firstLineChars="200"/>
    </w:pPr>
    <w:rPr>
      <w:rFonts w:ascii="Calibri" w:hAnsi="Calibri" w:cs="宋体"/>
      <w:sz w:val="24"/>
      <w:szCs w:val="22"/>
    </w:rPr>
  </w:style>
  <w:style w:type="character" w:customStyle="1" w:styleId="244">
    <w:name w:val="样式1 Char"/>
    <w:link w:val="245"/>
    <w:autoRedefine/>
    <w:qFormat/>
    <w:uiPriority w:val="0"/>
    <w:rPr>
      <w:rFonts w:ascii="宋体" w:hAnsi="宋体" w:eastAsia="宋体"/>
      <w:b/>
      <w:bCs/>
      <w:sz w:val="28"/>
      <w:szCs w:val="28"/>
    </w:rPr>
  </w:style>
  <w:style w:type="paragraph" w:customStyle="1" w:styleId="245">
    <w:name w:val="样式1"/>
    <w:basedOn w:val="5"/>
    <w:link w:val="244"/>
    <w:autoRedefine/>
    <w:qFormat/>
    <w:uiPriority w:val="0"/>
    <w:pPr>
      <w:spacing w:before="500" w:after="260" w:line="560" w:lineRule="atLeast"/>
    </w:pPr>
    <w:rPr>
      <w:rFonts w:cstheme="minorBidi"/>
    </w:rPr>
  </w:style>
  <w:style w:type="character" w:customStyle="1" w:styleId="246">
    <w:name w:val="普通文字 Char Char1"/>
    <w:autoRedefine/>
    <w:qFormat/>
    <w:uiPriority w:val="0"/>
    <w:rPr>
      <w:rFonts w:ascii="宋体" w:hAnsi="Courier New" w:eastAsia="宋体"/>
      <w:kern w:val="2"/>
      <w:sz w:val="21"/>
      <w:lang w:val="en-US" w:eastAsia="zh-CN" w:bidi="ar-SA"/>
    </w:rPr>
  </w:style>
  <w:style w:type="paragraph" w:customStyle="1" w:styleId="247">
    <w:name w:val="CM40"/>
    <w:basedOn w:val="248"/>
    <w:next w:val="248"/>
    <w:autoRedefine/>
    <w:qFormat/>
    <w:uiPriority w:val="0"/>
    <w:pPr>
      <w:spacing w:after="330"/>
    </w:pPr>
    <w:rPr>
      <w:color w:val="auto"/>
    </w:rPr>
  </w:style>
  <w:style w:type="paragraph" w:customStyle="1" w:styleId="248">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49">
    <w:name w:val="没有缩进（为图形使用）"/>
    <w:basedOn w:val="1"/>
    <w:autoRedefine/>
    <w:qFormat/>
    <w:uiPriority w:val="0"/>
    <w:pPr>
      <w:spacing w:before="120" w:after="120" w:line="360" w:lineRule="auto"/>
    </w:pPr>
    <w:rPr>
      <w:sz w:val="24"/>
      <w:szCs w:val="20"/>
    </w:rPr>
  </w:style>
  <w:style w:type="paragraph" w:customStyle="1" w:styleId="250">
    <w:name w:val="FW LAYOUT"/>
    <w:autoRedefine/>
    <w:qFormat/>
    <w:uiPriority w:val="0"/>
    <w:pPr>
      <w:suppressAutoHyphens/>
    </w:pPr>
    <w:rPr>
      <w:rFonts w:ascii="Univers" w:hAnsi="Univers" w:eastAsia="MS Mincho" w:cs="Times New Roman"/>
      <w:sz w:val="22"/>
      <w:lang w:val="en-US" w:eastAsia="ja-JP" w:bidi="ar-SA"/>
    </w:rPr>
  </w:style>
  <w:style w:type="paragraph" w:customStyle="1" w:styleId="251">
    <w:name w:val="Document Heading Data"/>
    <w:basedOn w:val="252"/>
    <w:autoRedefine/>
    <w:qFormat/>
    <w:uiPriority w:val="0"/>
    <w:pPr>
      <w:tabs>
        <w:tab w:val="left" w:pos="-720"/>
      </w:tabs>
      <w:spacing w:before="60" w:after="60"/>
      <w:jc w:val="left"/>
    </w:pPr>
    <w:rPr>
      <w:b w:val="0"/>
      <w:caps w:val="0"/>
      <w:sz w:val="20"/>
    </w:rPr>
  </w:style>
  <w:style w:type="paragraph" w:customStyle="1" w:styleId="252">
    <w:name w:val="Document Heading"/>
    <w:basedOn w:val="2"/>
    <w:autoRedefine/>
    <w:qFormat/>
    <w:uiPriority w:val="0"/>
    <w:pPr>
      <w:keepLines/>
      <w:widowControl/>
      <w:tabs>
        <w:tab w:val="left" w:pos="-720"/>
      </w:tabs>
      <w:spacing w:before="120" w:after="180"/>
      <w:outlineLvl w:val="9"/>
    </w:pPr>
    <w:rPr>
      <w:rFonts w:ascii="Arial" w:hAnsi="Arial"/>
      <w:b/>
      <w:caps/>
      <w:kern w:val="0"/>
      <w:sz w:val="22"/>
      <w:lang w:val="en-GB" w:eastAsia="en-US"/>
    </w:rPr>
  </w:style>
  <w:style w:type="paragraph" w:customStyle="1" w:styleId="253">
    <w:name w:val="PMC Procedure Numbering"/>
    <w:basedOn w:val="254"/>
    <w:next w:val="254"/>
    <w:autoRedefine/>
    <w:qFormat/>
    <w:uiPriority w:val="0"/>
    <w:pPr>
      <w:tabs>
        <w:tab w:val="left" w:pos="420"/>
        <w:tab w:val="left" w:pos="1440"/>
      </w:tabs>
      <w:ind w:left="1440" w:hanging="720"/>
    </w:pPr>
    <w:rPr>
      <w:rFonts w:hAnsi="Arial"/>
      <w:szCs w:val="24"/>
    </w:rPr>
  </w:style>
  <w:style w:type="paragraph" w:customStyle="1" w:styleId="254">
    <w:name w:val="PMC Procedure Bulleted"/>
    <w:basedOn w:val="1"/>
    <w:autoRedefine/>
    <w:qFormat/>
    <w:uiPriority w:val="0"/>
    <w:pPr>
      <w:widowControl/>
      <w:tabs>
        <w:tab w:val="left" w:pos="420"/>
      </w:tabs>
      <w:spacing w:before="60"/>
      <w:ind w:left="780" w:hanging="360"/>
    </w:pPr>
    <w:rPr>
      <w:rFonts w:ascii="Arial" w:hAnsi="宋体" w:cs="Arial"/>
      <w:kern w:val="0"/>
      <w:sz w:val="22"/>
      <w:szCs w:val="22"/>
    </w:rPr>
  </w:style>
  <w:style w:type="paragraph" w:customStyle="1" w:styleId="255">
    <w:name w:val="List Bullet Last"/>
    <w:basedOn w:val="21"/>
    <w:next w:val="29"/>
    <w:autoRedefine/>
    <w:qFormat/>
    <w:uiPriority w:val="0"/>
    <w:pPr>
      <w:widowControl/>
      <w:numPr>
        <w:ilvl w:val="0"/>
        <w:numId w:val="0"/>
      </w:numPr>
      <w:spacing w:before="120" w:after="240" w:line="240" w:lineRule="auto"/>
      <w:ind w:left="720" w:right="274" w:hanging="360"/>
    </w:pPr>
    <w:rPr>
      <w:rFonts w:ascii="Univers" w:hAnsi="Univers" w:eastAsia="MS Mincho"/>
      <w:spacing w:val="0"/>
      <w:kern w:val="0"/>
      <w:sz w:val="22"/>
      <w:lang w:val="en-GB" w:eastAsia="ja-JP"/>
    </w:rPr>
  </w:style>
  <w:style w:type="paragraph" w:customStyle="1" w:styleId="256">
    <w:name w:val="Char Char Char Char Char Char Char Char Char Char Char Char Char Char Char Char Char Char Char Char Char Char1"/>
    <w:basedOn w:val="1"/>
    <w:autoRedefine/>
    <w:qFormat/>
    <w:uiPriority w:val="0"/>
    <w:pPr>
      <w:widowControl/>
      <w:spacing w:line="400" w:lineRule="exact"/>
      <w:jc w:val="center"/>
    </w:pPr>
    <w:rPr>
      <w:rFonts w:ascii="Verdana" w:hAnsi="Verdana"/>
      <w:kern w:val="0"/>
      <w:szCs w:val="20"/>
      <w:lang w:eastAsia="en-US"/>
    </w:rPr>
  </w:style>
  <w:style w:type="paragraph" w:customStyle="1" w:styleId="257">
    <w:name w:val="样式4"/>
    <w:basedOn w:val="1"/>
    <w:autoRedefine/>
    <w:qFormat/>
    <w:uiPriority w:val="0"/>
    <w:pPr>
      <w:tabs>
        <w:tab w:val="center" w:pos="4320"/>
        <w:tab w:val="right" w:pos="8640"/>
      </w:tabs>
      <w:adjustRightInd w:val="0"/>
      <w:spacing w:line="480" w:lineRule="atLeast"/>
      <w:textAlignment w:val="baseline"/>
    </w:pPr>
    <w:rPr>
      <w:b/>
      <w:kern w:val="0"/>
      <w:sz w:val="24"/>
      <w:szCs w:val="20"/>
    </w:rPr>
  </w:style>
  <w:style w:type="paragraph" w:customStyle="1" w:styleId="258">
    <w:name w:val="招标文件正文"/>
    <w:autoRedefine/>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259">
    <w:name w:val="H2"/>
    <w:basedOn w:val="1"/>
    <w:next w:val="1"/>
    <w:autoRedefine/>
    <w:qFormat/>
    <w:uiPriority w:val="0"/>
    <w:pPr>
      <w:keepNext/>
      <w:autoSpaceDE w:val="0"/>
      <w:autoSpaceDN w:val="0"/>
      <w:adjustRightInd w:val="0"/>
      <w:spacing w:before="100" w:after="100"/>
      <w:jc w:val="left"/>
      <w:outlineLvl w:val="2"/>
    </w:pPr>
    <w:rPr>
      <w:b/>
      <w:kern w:val="0"/>
      <w:sz w:val="36"/>
      <w:szCs w:val="20"/>
    </w:rPr>
  </w:style>
  <w:style w:type="paragraph" w:customStyle="1" w:styleId="260">
    <w:name w:val="Header Block"/>
    <w:basedOn w:val="1"/>
    <w:autoRedefine/>
    <w:qFormat/>
    <w:uiPriority w:val="0"/>
    <w:pPr>
      <w:wordWrap w:val="0"/>
      <w:jc w:val="center"/>
    </w:pPr>
    <w:rPr>
      <w:rFonts w:ascii="Arial" w:hAnsi="Arial"/>
      <w:b/>
      <w:spacing w:val="60"/>
      <w:sz w:val="24"/>
      <w:szCs w:val="20"/>
    </w:rPr>
  </w:style>
  <w:style w:type="paragraph" w:customStyle="1" w:styleId="261">
    <w:name w:val="标题---(5)"/>
    <w:basedOn w:val="262"/>
    <w:next w:val="204"/>
    <w:autoRedefine/>
    <w:qFormat/>
    <w:uiPriority w:val="0"/>
    <w:pPr>
      <w:tabs>
        <w:tab w:val="left" w:pos="708"/>
        <w:tab w:val="left" w:pos="1418"/>
        <w:tab w:val="left" w:pos="1984"/>
        <w:tab w:val="left" w:pos="2551"/>
      </w:tabs>
      <w:outlineLvl w:val="4"/>
    </w:pPr>
  </w:style>
  <w:style w:type="paragraph" w:customStyle="1" w:styleId="262">
    <w:name w:val="标题---(4)"/>
    <w:basedOn w:val="263"/>
    <w:next w:val="204"/>
    <w:autoRedefine/>
    <w:qFormat/>
    <w:uiPriority w:val="0"/>
    <w:pPr>
      <w:tabs>
        <w:tab w:val="left" w:pos="708"/>
        <w:tab w:val="left" w:pos="1418"/>
        <w:tab w:val="left" w:pos="1984"/>
      </w:tabs>
      <w:outlineLvl w:val="3"/>
    </w:pPr>
  </w:style>
  <w:style w:type="paragraph" w:customStyle="1" w:styleId="263">
    <w:name w:val="标题---(3)"/>
    <w:basedOn w:val="264"/>
    <w:next w:val="204"/>
    <w:autoRedefine/>
    <w:qFormat/>
    <w:uiPriority w:val="0"/>
    <w:pPr>
      <w:tabs>
        <w:tab w:val="left" w:pos="708"/>
        <w:tab w:val="left" w:pos="1418"/>
      </w:tabs>
      <w:spacing w:beforeLines="0"/>
      <w:ind w:left="0"/>
      <w:outlineLvl w:val="2"/>
    </w:pPr>
    <w:rPr>
      <w:b w:val="0"/>
    </w:rPr>
  </w:style>
  <w:style w:type="paragraph" w:customStyle="1" w:styleId="264">
    <w:name w:val="标题---(2)"/>
    <w:basedOn w:val="185"/>
    <w:next w:val="204"/>
    <w:autoRedefine/>
    <w:qFormat/>
    <w:uiPriority w:val="0"/>
    <w:pPr>
      <w:tabs>
        <w:tab w:val="left" w:pos="708"/>
      </w:tabs>
      <w:spacing w:beforeLines="25"/>
      <w:ind w:left="-284" w:firstLine="284"/>
      <w:outlineLvl w:val="1"/>
    </w:pPr>
    <w:rPr>
      <w:rFonts w:ascii="Times New Roman" w:hAnsi="Times New Roman"/>
      <w:b/>
    </w:rPr>
  </w:style>
  <w:style w:type="paragraph" w:customStyle="1" w:styleId="265">
    <w:name w:val="表样式"/>
    <w:basedOn w:val="1"/>
    <w:autoRedefine/>
    <w:qFormat/>
    <w:uiPriority w:val="0"/>
    <w:pPr>
      <w:autoSpaceDE w:val="0"/>
      <w:autoSpaceDN w:val="0"/>
      <w:adjustRightInd w:val="0"/>
      <w:spacing w:line="240" w:lineRule="atLeast"/>
      <w:jc w:val="center"/>
      <w:textAlignment w:val="baseline"/>
    </w:pPr>
    <w:rPr>
      <w:rFonts w:ascii="宋体"/>
      <w:kern w:val="0"/>
      <w:sz w:val="22"/>
      <w:szCs w:val="20"/>
    </w:rPr>
  </w:style>
  <w:style w:type="paragraph" w:customStyle="1" w:styleId="266">
    <w:name w:val="bb"/>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67">
    <w:name w:val="xl5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szCs w:val="28"/>
    </w:rPr>
  </w:style>
  <w:style w:type="paragraph" w:customStyle="1" w:styleId="268">
    <w:name w:val="样式 样式 首行缩进:  2 字符 段前: 4.65 磅 + 首行缩进:  2 字符"/>
    <w:basedOn w:val="1"/>
    <w:autoRedefine/>
    <w:qFormat/>
    <w:uiPriority w:val="0"/>
    <w:pPr>
      <w:topLinePunct/>
      <w:spacing w:before="93" w:line="360" w:lineRule="auto"/>
      <w:ind w:firstLine="480" w:firstLineChars="200"/>
    </w:pPr>
    <w:rPr>
      <w:rFonts w:cs="宋体"/>
      <w:sz w:val="24"/>
      <w:szCs w:val="20"/>
    </w:rPr>
  </w:style>
  <w:style w:type="paragraph" w:customStyle="1" w:styleId="269">
    <w:name w:val="h4"/>
    <w:basedOn w:val="270"/>
    <w:autoRedefine/>
    <w:qFormat/>
    <w:uiPriority w:val="0"/>
    <w:pPr>
      <w:tabs>
        <w:tab w:val="left" w:pos="425"/>
        <w:tab w:val="left" w:pos="735"/>
        <w:tab w:val="left" w:pos="1050"/>
      </w:tabs>
      <w:spacing w:before="240"/>
      <w:ind w:left="425" w:hanging="425"/>
    </w:pPr>
  </w:style>
  <w:style w:type="paragraph" w:customStyle="1" w:styleId="270">
    <w:name w:val="h3"/>
    <w:basedOn w:val="1"/>
    <w:autoRedefine/>
    <w:qFormat/>
    <w:uiPriority w:val="0"/>
    <w:pPr>
      <w:keepLines/>
      <w:tabs>
        <w:tab w:val="left" w:pos="735"/>
      </w:tabs>
      <w:autoSpaceDE w:val="0"/>
      <w:autoSpaceDN w:val="0"/>
      <w:adjustRightInd w:val="0"/>
      <w:snapToGrid w:val="0"/>
      <w:spacing w:before="120" w:line="360" w:lineRule="auto"/>
      <w:ind w:left="720" w:right="34" w:hanging="720"/>
    </w:pPr>
    <w:rPr>
      <w:b/>
      <w:kern w:val="0"/>
      <w:sz w:val="24"/>
      <w:szCs w:val="20"/>
    </w:rPr>
  </w:style>
  <w:style w:type="paragraph" w:customStyle="1" w:styleId="271">
    <w:name w:val="dot"/>
    <w:basedOn w:val="1"/>
    <w:autoRedefine/>
    <w:qFormat/>
    <w:uiPriority w:val="0"/>
    <w:pPr>
      <w:numPr>
        <w:ilvl w:val="0"/>
        <w:numId w:val="10"/>
      </w:numPr>
      <w:tabs>
        <w:tab w:val="left" w:pos="425"/>
      </w:tabs>
      <w:spacing w:line="400" w:lineRule="exact"/>
    </w:pPr>
    <w:rPr>
      <w:spacing w:val="10"/>
      <w:sz w:val="24"/>
      <w:szCs w:val="20"/>
    </w:rPr>
  </w:style>
  <w:style w:type="paragraph" w:customStyle="1" w:styleId="272">
    <w:name w:val="表名称"/>
    <w:basedOn w:val="1"/>
    <w:next w:val="1"/>
    <w:autoRedefine/>
    <w:qFormat/>
    <w:uiPriority w:val="0"/>
    <w:pPr>
      <w:tabs>
        <w:tab w:val="left" w:pos="2268"/>
        <w:tab w:val="center" w:pos="4536"/>
        <w:tab w:val="right" w:pos="6615"/>
        <w:tab w:val="center" w:pos="10773"/>
        <w:tab w:val="right" w:pos="18522"/>
      </w:tabs>
      <w:adjustRightInd w:val="0"/>
      <w:snapToGrid w:val="0"/>
      <w:spacing w:line="480" w:lineRule="exact"/>
      <w:ind w:right="48" w:rightChars="23"/>
      <w:jc w:val="center"/>
    </w:pPr>
    <w:rPr>
      <w:rFonts w:ascii="宋体"/>
      <w:szCs w:val="21"/>
    </w:rPr>
  </w:style>
  <w:style w:type="paragraph" w:customStyle="1" w:styleId="273">
    <w:name w:val="Company Heading"/>
    <w:basedOn w:val="2"/>
    <w:autoRedefine/>
    <w:qFormat/>
    <w:uiPriority w:val="0"/>
    <w:pPr>
      <w:keepLines/>
      <w:widowControl/>
      <w:tabs>
        <w:tab w:val="left" w:pos="-720"/>
      </w:tabs>
      <w:spacing w:before="360" w:after="120"/>
      <w:ind w:left="1134" w:hanging="1134"/>
      <w:outlineLvl w:val="9"/>
    </w:pPr>
    <w:rPr>
      <w:rFonts w:ascii="Arial" w:hAnsi="Arial"/>
      <w:b/>
      <w:caps/>
      <w:kern w:val="0"/>
      <w:sz w:val="20"/>
      <w:lang w:val="en-GB" w:eastAsia="en-US"/>
    </w:rPr>
  </w:style>
  <w:style w:type="paragraph" w:customStyle="1" w:styleId="274">
    <w:name w:val="Chapter Title"/>
    <w:basedOn w:val="1"/>
    <w:next w:val="1"/>
    <w:autoRedefine/>
    <w:qFormat/>
    <w:uiPriority w:val="0"/>
    <w:pPr>
      <w:keepNext/>
      <w:keepLines/>
      <w:widowControl/>
      <w:spacing w:before="600"/>
      <w:jc w:val="center"/>
    </w:pPr>
    <w:rPr>
      <w:rFonts w:ascii="Arial" w:hAnsi="Arial" w:eastAsia="MS Mincho"/>
      <w:b/>
      <w:kern w:val="28"/>
      <w:sz w:val="32"/>
      <w:szCs w:val="20"/>
      <w:lang w:val="en-GB" w:eastAsia="ja-JP"/>
    </w:rPr>
  </w:style>
  <w:style w:type="paragraph" w:customStyle="1" w:styleId="275">
    <w:name w:val="Style7"/>
    <w:basedOn w:val="50"/>
    <w:autoRedefine/>
    <w:qFormat/>
    <w:uiPriority w:val="0"/>
    <w:pPr>
      <w:widowControl/>
      <w:tabs>
        <w:tab w:val="left" w:pos="660"/>
        <w:tab w:val="right" w:leader="dot" w:pos="9498"/>
      </w:tabs>
      <w:spacing w:before="240" w:after="120"/>
      <w:jc w:val="left"/>
    </w:pPr>
    <w:rPr>
      <w:rFonts w:ascii="Arial" w:hAnsi="Arial" w:cs="Arial"/>
      <w:caps/>
      <w:kern w:val="0"/>
      <w:sz w:val="24"/>
    </w:rPr>
  </w:style>
  <w:style w:type="paragraph" w:customStyle="1" w:styleId="276">
    <w:name w:val="Style PMC Procedure Normal + Left:  1.27 cm"/>
    <w:basedOn w:val="179"/>
    <w:autoRedefine/>
    <w:qFormat/>
    <w:uiPriority w:val="0"/>
    <w:pPr>
      <w:jc w:val="left"/>
    </w:pPr>
    <w:rPr>
      <w:rFonts w:cs="宋体"/>
      <w:szCs w:val="21"/>
    </w:rPr>
  </w:style>
  <w:style w:type="paragraph" w:customStyle="1" w:styleId="277">
    <w:name w:val="Block Quotation First"/>
    <w:basedOn w:val="278"/>
    <w:next w:val="278"/>
    <w:autoRedefine/>
    <w:qFormat/>
    <w:uiPriority w:val="0"/>
  </w:style>
  <w:style w:type="paragraph" w:customStyle="1" w:styleId="278">
    <w:name w:val="Block Quotation"/>
    <w:basedOn w:val="29"/>
    <w:autoRedefine/>
    <w:qFormat/>
    <w:uiPriority w:val="0"/>
    <w:pPr>
      <w:keepLines/>
      <w:widowControl/>
      <w:spacing w:before="120"/>
      <w:ind w:left="720" w:right="720"/>
    </w:pPr>
    <w:rPr>
      <w:rFonts w:ascii="Univers" w:hAnsi="Univers" w:eastAsia="MS Mincho"/>
      <w:i/>
      <w:kern w:val="0"/>
      <w:sz w:val="22"/>
      <w:szCs w:val="20"/>
      <w:lang w:val="en-GB" w:eastAsia="ja-JP"/>
    </w:rPr>
  </w:style>
  <w:style w:type="paragraph" w:customStyle="1" w:styleId="279">
    <w:name w:val="Table Heading"/>
    <w:autoRedefine/>
    <w:qFormat/>
    <w:uiPriority w:val="0"/>
    <w:pPr>
      <w:keepNext/>
      <w:snapToGrid w:val="0"/>
      <w:spacing w:before="80" w:after="80"/>
      <w:jc w:val="center"/>
    </w:pPr>
    <w:rPr>
      <w:rFonts w:ascii="Arial" w:hAnsi="Arial" w:eastAsia="黑体" w:cs="Arial"/>
      <w:sz w:val="18"/>
      <w:szCs w:val="18"/>
      <w:lang w:val="en-US" w:eastAsia="zh-CN" w:bidi="ar-SA"/>
    </w:rPr>
  </w:style>
  <w:style w:type="paragraph" w:customStyle="1" w:styleId="280">
    <w:name w:val="CM35"/>
    <w:basedOn w:val="248"/>
    <w:next w:val="248"/>
    <w:autoRedefine/>
    <w:qFormat/>
    <w:uiPriority w:val="0"/>
    <w:rPr>
      <w:color w:val="auto"/>
    </w:rPr>
  </w:style>
  <w:style w:type="paragraph" w:customStyle="1" w:styleId="281">
    <w:name w:val="CM41"/>
    <w:basedOn w:val="248"/>
    <w:next w:val="248"/>
    <w:autoRedefine/>
    <w:qFormat/>
    <w:uiPriority w:val="0"/>
    <w:pPr>
      <w:spacing w:after="465"/>
    </w:pPr>
    <w:rPr>
      <w:color w:val="auto"/>
    </w:rPr>
  </w:style>
  <w:style w:type="paragraph" w:customStyle="1" w:styleId="282">
    <w:name w:val="正文文字 首行缩进:  2 字符"/>
    <w:basedOn w:val="1"/>
    <w:autoRedefine/>
    <w:qFormat/>
    <w:uiPriority w:val="0"/>
    <w:pPr>
      <w:snapToGrid w:val="0"/>
      <w:spacing w:line="460" w:lineRule="exact"/>
      <w:ind w:firstLine="520" w:firstLineChars="200"/>
    </w:pPr>
    <w:rPr>
      <w:rFonts w:ascii="Arial" w:hAnsi="Arial" w:cs="宋体"/>
      <w:spacing w:val="10"/>
      <w:sz w:val="24"/>
    </w:rPr>
  </w:style>
  <w:style w:type="paragraph" w:customStyle="1" w:styleId="283">
    <w:name w:val="规范文本"/>
    <w:basedOn w:val="38"/>
    <w:autoRedefine/>
    <w:qFormat/>
    <w:uiPriority w:val="0"/>
    <w:pPr>
      <w:adjustRightInd w:val="0"/>
      <w:snapToGrid w:val="0"/>
      <w:spacing w:line="360" w:lineRule="exact"/>
      <w:ind w:firstLine="420"/>
    </w:pPr>
    <w:rPr>
      <w:snapToGrid w:val="0"/>
      <w:kern w:val="0"/>
    </w:rPr>
  </w:style>
  <w:style w:type="paragraph" w:customStyle="1" w:styleId="284">
    <w:name w:val="目录1"/>
    <w:basedOn w:val="1"/>
    <w:autoRedefine/>
    <w:qFormat/>
    <w:uiPriority w:val="0"/>
    <w:pPr>
      <w:adjustRightInd w:val="0"/>
      <w:spacing w:line="420" w:lineRule="atLeast"/>
      <w:textAlignment w:val="baseline"/>
    </w:pPr>
    <w:rPr>
      <w:rFonts w:eastAsia="黑体"/>
      <w:b/>
      <w:kern w:val="0"/>
      <w:szCs w:val="20"/>
    </w:rPr>
  </w:style>
  <w:style w:type="paragraph" w:customStyle="1" w:styleId="285">
    <w:name w:val="Char Char Char1 Char Char Char Char Char Char Char Char Char Char Char Char Char Char Char Char Char Char Char Char Char Char Char Char Char"/>
    <w:basedOn w:val="1"/>
    <w:autoRedefine/>
    <w:qFormat/>
    <w:uiPriority w:val="0"/>
    <w:rPr>
      <w:rFonts w:ascii="Tahoma" w:hAnsi="Tahoma"/>
      <w:sz w:val="24"/>
      <w:szCs w:val="20"/>
    </w:rPr>
  </w:style>
  <w:style w:type="paragraph" w:customStyle="1" w:styleId="286">
    <w:name w:val="标题---5"/>
    <w:basedOn w:val="287"/>
    <w:next w:val="185"/>
    <w:autoRedefine/>
    <w:qFormat/>
    <w:uiPriority w:val="0"/>
    <w:pPr>
      <w:tabs>
        <w:tab w:val="left" w:pos="1134"/>
        <w:tab w:val="left" w:pos="1524"/>
        <w:tab w:val="left" w:pos="1584"/>
      </w:tabs>
      <w:outlineLvl w:val="4"/>
    </w:pPr>
  </w:style>
  <w:style w:type="paragraph" w:customStyle="1" w:styleId="287">
    <w:name w:val="标题---4"/>
    <w:basedOn w:val="288"/>
    <w:next w:val="185"/>
    <w:autoRedefine/>
    <w:qFormat/>
    <w:uiPriority w:val="0"/>
    <w:pPr>
      <w:tabs>
        <w:tab w:val="left" w:pos="1134"/>
        <w:tab w:val="left" w:pos="1524"/>
      </w:tabs>
      <w:outlineLvl w:val="3"/>
    </w:pPr>
  </w:style>
  <w:style w:type="paragraph" w:customStyle="1" w:styleId="288">
    <w:name w:val="标题---3"/>
    <w:basedOn w:val="289"/>
    <w:next w:val="185"/>
    <w:autoRedefine/>
    <w:qFormat/>
    <w:uiPriority w:val="0"/>
    <w:pPr>
      <w:tabs>
        <w:tab w:val="left" w:pos="1134"/>
        <w:tab w:val="left" w:pos="1524"/>
      </w:tabs>
      <w:spacing w:beforeLines="0"/>
      <w:outlineLvl w:val="2"/>
    </w:pPr>
  </w:style>
  <w:style w:type="paragraph" w:customStyle="1" w:styleId="289">
    <w:name w:val="标题---2"/>
    <w:basedOn w:val="290"/>
    <w:next w:val="185"/>
    <w:autoRedefine/>
    <w:qFormat/>
    <w:uiPriority w:val="0"/>
    <w:pPr>
      <w:tabs>
        <w:tab w:val="left" w:pos="1134"/>
        <w:tab w:val="left" w:pos="1524"/>
      </w:tabs>
      <w:spacing w:beforeLines="25" w:afterLines="0"/>
      <w:outlineLvl w:val="1"/>
    </w:pPr>
    <w:rPr>
      <w:b w:val="0"/>
    </w:rPr>
  </w:style>
  <w:style w:type="paragraph" w:customStyle="1" w:styleId="290">
    <w:name w:val="标题---1"/>
    <w:basedOn w:val="185"/>
    <w:next w:val="289"/>
    <w:autoRedefine/>
    <w:qFormat/>
    <w:uiPriority w:val="0"/>
    <w:pPr>
      <w:tabs>
        <w:tab w:val="left" w:pos="1134"/>
      </w:tabs>
      <w:spacing w:beforeLines="50" w:afterLines="50"/>
      <w:outlineLvl w:val="0"/>
    </w:pPr>
    <w:rPr>
      <w:rFonts w:ascii="Times New Roman" w:hAnsi="Times New Roman"/>
      <w:b/>
    </w:rPr>
  </w:style>
  <w:style w:type="paragraph" w:customStyle="1" w:styleId="291">
    <w:name w:val="CM70"/>
    <w:basedOn w:val="248"/>
    <w:next w:val="248"/>
    <w:autoRedefine/>
    <w:qFormat/>
    <w:uiPriority w:val="0"/>
    <w:pPr>
      <w:spacing w:after="480"/>
    </w:pPr>
    <w:rPr>
      <w:rFonts w:ascii="Times New Roman" w:cs="Times New Roman"/>
      <w:color w:val="auto"/>
    </w:rPr>
  </w:style>
  <w:style w:type="paragraph" w:customStyle="1" w:styleId="292">
    <w:name w:val="五级条标题"/>
    <w:basedOn w:val="293"/>
    <w:next w:val="297"/>
    <w:autoRedefine/>
    <w:qFormat/>
    <w:uiPriority w:val="0"/>
    <w:pPr>
      <w:tabs>
        <w:tab w:val="left" w:pos="425"/>
      </w:tabs>
      <w:outlineLvl w:val="6"/>
    </w:pPr>
  </w:style>
  <w:style w:type="paragraph" w:customStyle="1" w:styleId="293">
    <w:name w:val="四级条标题"/>
    <w:basedOn w:val="294"/>
    <w:next w:val="297"/>
    <w:autoRedefine/>
    <w:qFormat/>
    <w:uiPriority w:val="0"/>
    <w:pPr>
      <w:tabs>
        <w:tab w:val="left" w:pos="425"/>
      </w:tabs>
      <w:outlineLvl w:val="5"/>
    </w:pPr>
  </w:style>
  <w:style w:type="paragraph" w:customStyle="1" w:styleId="294">
    <w:name w:val="三级条标题"/>
    <w:basedOn w:val="295"/>
    <w:next w:val="297"/>
    <w:autoRedefine/>
    <w:qFormat/>
    <w:uiPriority w:val="0"/>
    <w:pPr>
      <w:tabs>
        <w:tab w:val="left" w:pos="425"/>
      </w:tabs>
      <w:outlineLvl w:val="4"/>
    </w:pPr>
  </w:style>
  <w:style w:type="paragraph" w:customStyle="1" w:styleId="295">
    <w:name w:val="二级条标题"/>
    <w:basedOn w:val="296"/>
    <w:next w:val="297"/>
    <w:autoRedefine/>
    <w:qFormat/>
    <w:uiPriority w:val="0"/>
    <w:pPr>
      <w:tabs>
        <w:tab w:val="left" w:pos="425"/>
      </w:tabs>
      <w:spacing w:before="50" w:after="50"/>
      <w:outlineLvl w:val="3"/>
    </w:pPr>
  </w:style>
  <w:style w:type="paragraph" w:customStyle="1" w:styleId="296">
    <w:name w:val="一级条标题"/>
    <w:next w:val="297"/>
    <w:autoRedefine/>
    <w:qFormat/>
    <w:uiPriority w:val="0"/>
    <w:pPr>
      <w:tabs>
        <w:tab w:val="left" w:pos="425"/>
      </w:tabs>
      <w:spacing w:beforeLines="50" w:afterLines="50"/>
      <w:ind w:left="425" w:hanging="425"/>
      <w:outlineLvl w:val="2"/>
    </w:pPr>
    <w:rPr>
      <w:rFonts w:ascii="黑体" w:hAnsi="Times New Roman" w:eastAsia="黑体" w:cs="Times New Roman"/>
      <w:sz w:val="21"/>
      <w:szCs w:val="21"/>
      <w:lang w:val="en-US" w:eastAsia="zh-CN" w:bidi="ar-SA"/>
    </w:rPr>
  </w:style>
  <w:style w:type="paragraph" w:customStyle="1" w:styleId="297">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98">
    <w:name w:val="标题－－（3）"/>
    <w:basedOn w:val="1"/>
    <w:autoRedefine/>
    <w:qFormat/>
    <w:uiPriority w:val="0"/>
    <w:pPr>
      <w:tabs>
        <w:tab w:val="left" w:pos="420"/>
      </w:tabs>
      <w:adjustRightInd w:val="0"/>
      <w:spacing w:line="360" w:lineRule="auto"/>
      <w:jc w:val="left"/>
      <w:textAlignment w:val="baseline"/>
    </w:pPr>
    <w:rPr>
      <w:rFonts w:ascii="Arial" w:hAnsi="Arial" w:eastAsia="楷体_GB2312"/>
      <w:kern w:val="0"/>
      <w:sz w:val="24"/>
      <w:szCs w:val="20"/>
    </w:rPr>
  </w:style>
  <w:style w:type="paragraph" w:customStyle="1" w:styleId="299">
    <w:name w:val="TAH"/>
    <w:basedOn w:val="300"/>
    <w:autoRedefine/>
    <w:qFormat/>
    <w:uiPriority w:val="0"/>
    <w:pPr>
      <w:widowControl w:val="0"/>
      <w:spacing w:line="240" w:lineRule="auto"/>
      <w:ind w:firstLine="0"/>
    </w:pPr>
    <w:rPr>
      <w:rFonts w:eastAsia="MS Mincho"/>
      <w:b/>
      <w:snapToGrid w:val="0"/>
      <w:spacing w:val="0"/>
      <w:sz w:val="20"/>
      <w:lang w:eastAsia="en-US"/>
    </w:rPr>
  </w:style>
  <w:style w:type="paragraph" w:customStyle="1" w:styleId="300">
    <w:name w:val="TAC"/>
    <w:basedOn w:val="1"/>
    <w:autoRedefine/>
    <w:qFormat/>
    <w:uiPriority w:val="0"/>
    <w:pPr>
      <w:keepNext/>
      <w:keepLines/>
      <w:widowControl/>
      <w:spacing w:line="360" w:lineRule="auto"/>
      <w:ind w:firstLine="459"/>
      <w:jc w:val="center"/>
    </w:pPr>
    <w:rPr>
      <w:rFonts w:ascii="Arial" w:hAnsi="Arial"/>
      <w:spacing w:val="10"/>
      <w:kern w:val="0"/>
      <w:sz w:val="18"/>
      <w:szCs w:val="20"/>
      <w:lang w:val="en-GB"/>
    </w:rPr>
  </w:style>
  <w:style w:type="paragraph" w:customStyle="1" w:styleId="301">
    <w:name w:val="项目符号"/>
    <w:basedOn w:val="1"/>
    <w:autoRedefine/>
    <w:qFormat/>
    <w:uiPriority w:val="0"/>
    <w:pPr>
      <w:spacing w:line="360" w:lineRule="auto"/>
    </w:pPr>
    <w:rPr>
      <w:sz w:val="24"/>
      <w:szCs w:val="20"/>
    </w:rPr>
  </w:style>
  <w:style w:type="paragraph" w:customStyle="1" w:styleId="302">
    <w:name w:val="正文段落"/>
    <w:basedOn w:val="1"/>
    <w:autoRedefine/>
    <w:qFormat/>
    <w:uiPriority w:val="0"/>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303">
    <w:name w:val="注示文本"/>
    <w:basedOn w:val="1"/>
    <w:autoRedefine/>
    <w:qFormat/>
    <w:uiPriority w:val="0"/>
    <w:pPr>
      <w:pBdr>
        <w:bottom w:val="single" w:color="000000" w:sz="4" w:space="1"/>
      </w:pBdr>
      <w:adjustRightInd w:val="0"/>
      <w:spacing w:line="312" w:lineRule="atLeast"/>
      <w:ind w:firstLine="360"/>
      <w:textAlignment w:val="baseline"/>
    </w:pPr>
    <w:rPr>
      <w:rFonts w:ascii="Arial" w:hAnsi="Arial" w:eastAsia="楷体_GB2312"/>
      <w:kern w:val="0"/>
      <w:sz w:val="18"/>
      <w:szCs w:val="18"/>
    </w:rPr>
  </w:style>
  <w:style w:type="paragraph" w:customStyle="1" w:styleId="304">
    <w:name w:val="标题---(1)"/>
    <w:basedOn w:val="2"/>
    <w:next w:val="185"/>
    <w:autoRedefine/>
    <w:qFormat/>
    <w:uiPriority w:val="0"/>
    <w:pPr>
      <w:keepLines/>
      <w:tabs>
        <w:tab w:val="left" w:pos="567"/>
      </w:tabs>
      <w:spacing w:beforeLines="50" w:afterLines="25" w:line="360" w:lineRule="auto"/>
      <w:jc w:val="both"/>
    </w:pPr>
    <w:rPr>
      <w:b/>
      <w:bCs/>
      <w:kern w:val="44"/>
      <w:sz w:val="24"/>
      <w:szCs w:val="44"/>
    </w:rPr>
  </w:style>
  <w:style w:type="paragraph" w:customStyle="1" w:styleId="305">
    <w:name w:val="l9标题3"/>
    <w:basedOn w:val="1"/>
    <w:autoRedefine/>
    <w:qFormat/>
    <w:uiPriority w:val="0"/>
    <w:rPr>
      <w:kern w:val="0"/>
      <w:sz w:val="24"/>
      <w:lang w:val="zh-CN"/>
    </w:rPr>
  </w:style>
  <w:style w:type="paragraph" w:customStyle="1" w:styleId="306">
    <w:name w:val="Char Char Char Char Char Char Char Char Char Char Char Char Char Char Char Char Char Char Char Char Char Char"/>
    <w:basedOn w:val="1"/>
    <w:autoRedefine/>
    <w:qFormat/>
    <w:uiPriority w:val="0"/>
    <w:pPr>
      <w:widowControl/>
      <w:spacing w:line="400" w:lineRule="exact"/>
      <w:jc w:val="center"/>
    </w:pPr>
    <w:rPr>
      <w:rFonts w:ascii="Verdana" w:hAnsi="Verdana"/>
      <w:kern w:val="0"/>
      <w:szCs w:val="20"/>
      <w:lang w:eastAsia="en-US"/>
    </w:rPr>
  </w:style>
  <w:style w:type="paragraph" w:customStyle="1" w:styleId="307">
    <w:name w:val="xl38"/>
    <w:basedOn w:val="1"/>
    <w:autoRedefine/>
    <w:qFormat/>
    <w:uiPriority w:val="0"/>
    <w:pPr>
      <w:widowControl/>
      <w:spacing w:before="100" w:beforeAutospacing="1" w:after="100" w:afterAutospacing="1"/>
      <w:jc w:val="center"/>
      <w:textAlignment w:val="top"/>
    </w:pPr>
    <w:rPr>
      <w:rFonts w:ascii="宋体" w:hAnsi="宋体"/>
      <w:kern w:val="0"/>
      <w:sz w:val="22"/>
      <w:szCs w:val="22"/>
    </w:rPr>
  </w:style>
  <w:style w:type="paragraph" w:customStyle="1" w:styleId="308">
    <w:name w:val="Char1 Char Char Char1"/>
    <w:basedOn w:val="22"/>
    <w:autoRedefine/>
    <w:qFormat/>
    <w:uiPriority w:val="0"/>
    <w:rPr>
      <w:rFonts w:ascii="Tahoma" w:hAnsi="Tahoma"/>
      <w:sz w:val="24"/>
    </w:rPr>
  </w:style>
  <w:style w:type="paragraph" w:customStyle="1" w:styleId="309">
    <w:name w:val="招标文件》"/>
    <w:basedOn w:val="1"/>
    <w:autoRedefine/>
    <w:qFormat/>
    <w:uiPriority w:val="0"/>
    <w:pPr>
      <w:widowControl/>
      <w:tabs>
        <w:tab w:val="left" w:pos="560"/>
      </w:tabs>
      <w:spacing w:before="120" w:after="120" w:line="300" w:lineRule="auto"/>
      <w:ind w:left="200"/>
      <w:jc w:val="left"/>
    </w:pPr>
    <w:rPr>
      <w:rFonts w:ascii="宋体"/>
      <w:spacing w:val="10"/>
      <w:w w:val="95"/>
      <w:kern w:val="0"/>
      <w:szCs w:val="20"/>
    </w:rPr>
  </w:style>
  <w:style w:type="paragraph" w:customStyle="1" w:styleId="310">
    <w:name w:val="INDENT2AB 4"/>
    <w:autoRedefine/>
    <w:qFormat/>
    <w:uiPriority w:val="0"/>
    <w:pPr>
      <w:tabs>
        <w:tab w:val="left" w:pos="-720"/>
        <w:tab w:val="left" w:pos="0"/>
        <w:tab w:val="left" w:pos="720"/>
        <w:tab w:val="left" w:pos="1440"/>
        <w:tab w:val="left" w:pos="2160"/>
      </w:tabs>
      <w:suppressAutoHyphens/>
      <w:ind w:left="2880" w:hanging="720"/>
    </w:pPr>
    <w:rPr>
      <w:rFonts w:ascii="Times New Roman" w:hAnsi="Times New Roman" w:eastAsia="宋体" w:cs="Times New Roman"/>
      <w:sz w:val="24"/>
      <w:lang w:val="en-US" w:eastAsia="zh-CN" w:bidi="ar-SA"/>
    </w:rPr>
  </w:style>
  <w:style w:type="paragraph" w:customStyle="1" w:styleId="311">
    <w:name w:val="Char Char7"/>
    <w:basedOn w:val="5"/>
    <w:autoRedefine/>
    <w:qFormat/>
    <w:uiPriority w:val="0"/>
    <w:pPr>
      <w:widowControl/>
      <w:spacing w:before="140" w:line="220" w:lineRule="atLeast"/>
      <w:ind w:left="720"/>
      <w:jc w:val="left"/>
    </w:pPr>
    <w:rPr>
      <w:rFonts w:ascii="Futura Bk BT" w:hAnsi="Futura Bk BT" w:eastAsia="Times New Roman"/>
      <w:b w:val="0"/>
      <w:bCs w:val="0"/>
      <w:spacing w:val="-4"/>
      <w:kern w:val="28"/>
      <w:sz w:val="21"/>
      <w:szCs w:val="20"/>
      <w:lang w:val="en-AU" w:eastAsia="en-US"/>
    </w:rPr>
  </w:style>
  <w:style w:type="paragraph" w:customStyle="1" w:styleId="312">
    <w:name w:val="章标题"/>
    <w:next w:val="297"/>
    <w:autoRedefine/>
    <w:qFormat/>
    <w:uiPriority w:val="0"/>
    <w:pPr>
      <w:tabs>
        <w:tab w:val="left" w:pos="425"/>
      </w:tabs>
      <w:spacing w:beforeLines="100" w:afterLines="100"/>
      <w:ind w:left="425" w:hanging="425"/>
      <w:jc w:val="both"/>
      <w:outlineLvl w:val="1"/>
    </w:pPr>
    <w:rPr>
      <w:rFonts w:ascii="黑体" w:hAnsi="Times New Roman" w:eastAsia="黑体" w:cs="Times New Roman"/>
      <w:sz w:val="21"/>
      <w:lang w:val="en-US" w:eastAsia="zh-CN" w:bidi="ar-SA"/>
    </w:rPr>
  </w:style>
  <w:style w:type="paragraph" w:customStyle="1" w:styleId="313">
    <w:name w:val="1.1.1 Paragraph"/>
    <w:basedOn w:val="1"/>
    <w:autoRedefine/>
    <w:qFormat/>
    <w:uiPriority w:val="0"/>
    <w:pPr>
      <w:tabs>
        <w:tab w:val="left" w:pos="-720"/>
        <w:tab w:val="left" w:pos="0"/>
        <w:tab w:val="left" w:pos="720"/>
        <w:tab w:val="left" w:pos="1584"/>
        <w:tab w:val="left" w:pos="2448"/>
      </w:tabs>
      <w:suppressAutoHyphens/>
      <w:spacing w:before="120" w:after="120"/>
      <w:ind w:left="1584"/>
    </w:pPr>
    <w:rPr>
      <w:spacing w:val="-3"/>
      <w:kern w:val="0"/>
      <w:sz w:val="22"/>
      <w:szCs w:val="20"/>
    </w:rPr>
  </w:style>
  <w:style w:type="paragraph" w:customStyle="1" w:styleId="314">
    <w:name w:val="main text"/>
    <w:basedOn w:val="1"/>
    <w:autoRedefine/>
    <w:qFormat/>
    <w:uiPriority w:val="0"/>
    <w:pPr>
      <w:widowControl/>
      <w:ind w:left="720"/>
    </w:pPr>
    <w:rPr>
      <w:kern w:val="0"/>
      <w:sz w:val="24"/>
      <w:szCs w:val="20"/>
      <w:lang w:val="en-GB" w:eastAsia="en-US"/>
    </w:rPr>
  </w:style>
  <w:style w:type="paragraph" w:customStyle="1" w:styleId="315">
    <w:name w:val="Subhead 1"/>
    <w:basedOn w:val="316"/>
    <w:autoRedefine/>
    <w:qFormat/>
    <w:uiPriority w:val="0"/>
    <w:pPr>
      <w:keepNext/>
      <w:widowControl/>
      <w:tabs>
        <w:tab w:val="left" w:pos="1134"/>
        <w:tab w:val="left" w:pos="1701"/>
      </w:tabs>
      <w:spacing w:before="510" w:after="0" w:line="420" w:lineRule="atLeast"/>
      <w:ind w:left="1134" w:hanging="1134"/>
      <w:jc w:val="left"/>
    </w:pPr>
    <w:rPr>
      <w:spacing w:val="0"/>
      <w:sz w:val="32"/>
    </w:rPr>
  </w:style>
  <w:style w:type="paragraph" w:customStyle="1" w:styleId="316">
    <w:name w:val="Headline"/>
    <w:autoRedefine/>
    <w:qFormat/>
    <w:uiPriority w:val="0"/>
    <w:pPr>
      <w:pageBreakBefore/>
      <w:widowControl w:val="0"/>
      <w:tabs>
        <w:tab w:val="left" w:pos="1701"/>
      </w:tabs>
      <w:autoSpaceDE w:val="0"/>
      <w:autoSpaceDN w:val="0"/>
      <w:adjustRightInd w:val="0"/>
      <w:spacing w:before="680" w:after="1134" w:line="900" w:lineRule="atLeast"/>
      <w:ind w:left="1701" w:hanging="1701"/>
      <w:jc w:val="center"/>
    </w:pPr>
    <w:rPr>
      <w:rFonts w:ascii="Arial" w:hAnsi="Arial" w:eastAsia="黑体" w:cs="Times New Roman"/>
      <w:b/>
      <w:spacing w:val="-35"/>
      <w:sz w:val="72"/>
      <w:lang w:val="en-US" w:eastAsia="zh-CN" w:bidi="ar-SA"/>
    </w:rPr>
  </w:style>
  <w:style w:type="paragraph" w:customStyle="1" w:styleId="317">
    <w:name w:val="1正文"/>
    <w:basedOn w:val="1"/>
    <w:autoRedefine/>
    <w:qFormat/>
    <w:uiPriority w:val="0"/>
    <w:pPr>
      <w:adjustRightInd w:val="0"/>
      <w:spacing w:line="300" w:lineRule="auto"/>
      <w:ind w:firstLine="480"/>
      <w:textAlignment w:val="baseline"/>
    </w:pPr>
    <w:rPr>
      <w:kern w:val="0"/>
      <w:sz w:val="24"/>
      <w:szCs w:val="20"/>
    </w:rPr>
  </w:style>
  <w:style w:type="paragraph" w:customStyle="1" w:styleId="318">
    <w:name w:val="批注框文本{858D7CFB-ED40-4347-BF05-701D383B685F}{858D7CFB-ED40-4347-BF05-701D383B685F}"/>
    <w:basedOn w:val="1"/>
    <w:autoRedefine/>
    <w:qFormat/>
    <w:uiPriority w:val="0"/>
    <w:rPr>
      <w:sz w:val="18"/>
      <w:szCs w:val="18"/>
    </w:rPr>
  </w:style>
  <w:style w:type="paragraph" w:customStyle="1" w:styleId="319">
    <w:name w:val="biaowen"/>
    <w:basedOn w:val="1"/>
    <w:autoRedefine/>
    <w:qFormat/>
    <w:uiPriority w:val="0"/>
  </w:style>
  <w:style w:type="paragraph" w:customStyle="1" w:styleId="320">
    <w:name w:val="Chapter Label"/>
    <w:basedOn w:val="1"/>
    <w:next w:val="1"/>
    <w:autoRedefine/>
    <w:qFormat/>
    <w:uiPriority w:val="0"/>
    <w:pPr>
      <w:keepNext/>
      <w:widowControl/>
      <w:spacing w:before="360"/>
      <w:jc w:val="center"/>
    </w:pPr>
    <w:rPr>
      <w:rFonts w:ascii="Arial" w:hAnsi="Arial" w:eastAsia="MS Mincho"/>
      <w:b/>
      <w:kern w:val="28"/>
      <w:sz w:val="24"/>
      <w:szCs w:val="20"/>
      <w:u w:val="single"/>
      <w:lang w:val="en-GB" w:eastAsia="ja-JP"/>
    </w:rPr>
  </w:style>
  <w:style w:type="paragraph" w:customStyle="1" w:styleId="321">
    <w:name w:val="修订1"/>
    <w:autoRedefine/>
    <w:semiHidden/>
    <w:qFormat/>
    <w:uiPriority w:val="0"/>
    <w:rPr>
      <w:rFonts w:ascii="Times New Roman" w:hAnsi="Times New Roman" w:eastAsia="宋体" w:cs="Times New Roman"/>
      <w:kern w:val="2"/>
      <w:sz w:val="21"/>
      <w:szCs w:val="24"/>
      <w:lang w:val="en-US" w:eastAsia="zh-CN" w:bidi="ar-SA"/>
    </w:rPr>
  </w:style>
  <w:style w:type="paragraph" w:customStyle="1" w:styleId="322">
    <w:name w:val="标题（4）"/>
    <w:basedOn w:val="1"/>
    <w:autoRedefine/>
    <w:qFormat/>
    <w:uiPriority w:val="0"/>
    <w:pPr>
      <w:tabs>
        <w:tab w:val="left" w:pos="1170"/>
      </w:tabs>
      <w:topLinePunct/>
      <w:spacing w:line="360" w:lineRule="auto"/>
      <w:ind w:left="1170" w:hanging="1170"/>
      <w:jc w:val="left"/>
      <w:outlineLvl w:val="3"/>
    </w:pPr>
    <w:rPr>
      <w:sz w:val="24"/>
    </w:rPr>
  </w:style>
  <w:style w:type="paragraph" w:customStyle="1" w:styleId="323">
    <w:name w:val="TOC 标题1"/>
    <w:basedOn w:val="2"/>
    <w:next w:val="1"/>
    <w:autoRedefine/>
    <w:qFormat/>
    <w:uiPriority w:val="0"/>
    <w:pPr>
      <w:keepLines/>
      <w:widowControl/>
      <w:tabs>
        <w:tab w:val="left" w:pos="425"/>
      </w:tabs>
      <w:spacing w:before="480" w:line="276" w:lineRule="auto"/>
      <w:jc w:val="left"/>
      <w:outlineLvl w:val="9"/>
    </w:pPr>
    <w:rPr>
      <w:rFonts w:ascii="Cambria" w:hAnsi="Cambria"/>
      <w:b/>
      <w:bCs/>
      <w:color w:val="365F91"/>
      <w:kern w:val="0"/>
      <w:szCs w:val="28"/>
    </w:rPr>
  </w:style>
  <w:style w:type="paragraph" w:customStyle="1" w:styleId="324">
    <w:name w:val="表格题注"/>
    <w:basedOn w:val="1"/>
    <w:autoRedefine/>
    <w:qFormat/>
    <w:uiPriority w:val="0"/>
    <w:pPr>
      <w:keepLines/>
      <w:overflowPunct w:val="0"/>
      <w:autoSpaceDE w:val="0"/>
      <w:autoSpaceDN w:val="0"/>
      <w:adjustRightInd w:val="0"/>
      <w:jc w:val="left"/>
    </w:pPr>
    <w:rPr>
      <w:rFonts w:ascii="宋体" w:hAnsi="Arial"/>
      <w:b/>
      <w:kern w:val="0"/>
      <w:sz w:val="18"/>
      <w:szCs w:val="20"/>
    </w:rPr>
  </w:style>
  <w:style w:type="paragraph" w:customStyle="1" w:styleId="325">
    <w:name w:val="Section Label"/>
    <w:basedOn w:val="326"/>
    <w:next w:val="29"/>
    <w:autoRedefine/>
    <w:qFormat/>
    <w:uiPriority w:val="0"/>
    <w:pPr>
      <w:keepLines/>
      <w:spacing w:after="360"/>
      <w:jc w:val="center"/>
    </w:pPr>
  </w:style>
  <w:style w:type="paragraph" w:customStyle="1" w:styleId="326">
    <w:name w:val="Heading Base"/>
    <w:basedOn w:val="1"/>
    <w:next w:val="29"/>
    <w:autoRedefine/>
    <w:qFormat/>
    <w:uiPriority w:val="0"/>
    <w:pPr>
      <w:keepNext/>
      <w:widowControl/>
      <w:spacing w:before="240" w:after="120"/>
      <w:jc w:val="left"/>
    </w:pPr>
    <w:rPr>
      <w:rFonts w:ascii="Arial" w:hAnsi="Arial" w:eastAsia="MS Mincho"/>
      <w:b/>
      <w:kern w:val="28"/>
      <w:sz w:val="36"/>
      <w:szCs w:val="20"/>
      <w:lang w:val="en-GB" w:eastAsia="ja-JP"/>
    </w:rPr>
  </w:style>
  <w:style w:type="paragraph" w:customStyle="1" w:styleId="327">
    <w:name w:val="xl22"/>
    <w:basedOn w:val="1"/>
    <w:autoRedefine/>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328">
    <w:name w:val="OmniPage #6"/>
    <w:basedOn w:val="1"/>
    <w:autoRedefine/>
    <w:qFormat/>
    <w:uiPriority w:val="0"/>
    <w:pPr>
      <w:tabs>
        <w:tab w:val="left" w:pos="739"/>
        <w:tab w:val="right" w:pos="9354"/>
      </w:tabs>
      <w:ind w:left="1582" w:right="1883"/>
      <w:jc w:val="left"/>
    </w:pPr>
    <w:rPr>
      <w:rFonts w:ascii="Arial" w:hAnsi="Arial"/>
      <w:kern w:val="0"/>
      <w:sz w:val="20"/>
      <w:szCs w:val="20"/>
    </w:rPr>
  </w:style>
  <w:style w:type="paragraph" w:customStyle="1" w:styleId="329">
    <w:name w:val="Char"/>
    <w:basedOn w:val="1"/>
    <w:autoRedefine/>
    <w:qFormat/>
    <w:uiPriority w:val="0"/>
    <w:rPr>
      <w:rFonts w:ascii="Tahoma" w:hAnsi="Tahoma"/>
      <w:sz w:val="24"/>
      <w:szCs w:val="20"/>
    </w:rPr>
  </w:style>
  <w:style w:type="paragraph" w:customStyle="1" w:styleId="330">
    <w:name w:val="Char Char Char Char Char Char Char Char Char Char"/>
    <w:basedOn w:val="1"/>
    <w:autoRedefine/>
    <w:qFormat/>
    <w:uiPriority w:val="0"/>
    <w:rPr>
      <w:rFonts w:ascii="仿宋_GB2312" w:eastAsia="仿宋_GB2312"/>
      <w:b/>
      <w:sz w:val="32"/>
      <w:szCs w:val="32"/>
    </w:rPr>
  </w:style>
  <w:style w:type="paragraph" w:customStyle="1" w:styleId="331">
    <w:name w:val="Style3"/>
    <w:basedOn w:val="332"/>
    <w:autoRedefine/>
    <w:qFormat/>
    <w:uiPriority w:val="0"/>
    <w:rPr>
      <w:caps w:val="0"/>
    </w:rPr>
  </w:style>
  <w:style w:type="paragraph" w:customStyle="1" w:styleId="332">
    <w:name w:val="Style1"/>
    <w:basedOn w:val="1"/>
    <w:autoRedefine/>
    <w:qFormat/>
    <w:uiPriority w:val="0"/>
    <w:pPr>
      <w:widowControl/>
      <w:jc w:val="center"/>
    </w:pPr>
    <w:rPr>
      <w:rFonts w:ascii="Arial" w:hAnsi="Arial" w:cs="Arial"/>
      <w:b/>
      <w:bCs/>
      <w:caps/>
      <w:kern w:val="0"/>
      <w:sz w:val="24"/>
    </w:rPr>
  </w:style>
  <w:style w:type="paragraph" w:customStyle="1" w:styleId="333">
    <w:name w:val="标题－－（4）"/>
    <w:basedOn w:val="1"/>
    <w:autoRedefine/>
    <w:qFormat/>
    <w:uiPriority w:val="0"/>
    <w:pPr>
      <w:tabs>
        <w:tab w:val="left" w:pos="1134"/>
      </w:tabs>
      <w:adjustRightInd w:val="0"/>
      <w:spacing w:line="360" w:lineRule="auto"/>
      <w:jc w:val="left"/>
      <w:textAlignment w:val="baseline"/>
    </w:pPr>
    <w:rPr>
      <w:rFonts w:ascii="Arial" w:hAnsi="Arial" w:eastAsia="楷体_GB2312"/>
      <w:kern w:val="0"/>
      <w:sz w:val="24"/>
      <w:szCs w:val="20"/>
    </w:rPr>
  </w:style>
  <w:style w:type="paragraph" w:customStyle="1" w:styleId="334">
    <w:name w:val="TxBr_t1"/>
    <w:basedOn w:val="1"/>
    <w:autoRedefine/>
    <w:qFormat/>
    <w:uiPriority w:val="0"/>
    <w:pPr>
      <w:spacing w:line="515" w:lineRule="atLeast"/>
      <w:jc w:val="left"/>
    </w:pPr>
    <w:rPr>
      <w:snapToGrid w:val="0"/>
      <w:kern w:val="0"/>
      <w:sz w:val="24"/>
      <w:szCs w:val="20"/>
      <w:lang w:eastAsia="en-US"/>
    </w:rPr>
  </w:style>
  <w:style w:type="paragraph" w:customStyle="1" w:styleId="335">
    <w:name w:val="招标文件1.1.1"/>
    <w:autoRedefine/>
    <w:qFormat/>
    <w:uiPriority w:val="0"/>
    <w:pPr>
      <w:spacing w:before="120" w:after="120" w:line="480" w:lineRule="exact"/>
      <w:ind w:left="200"/>
      <w:outlineLvl w:val="3"/>
    </w:pPr>
    <w:rPr>
      <w:rFonts w:ascii="宋体" w:hAnsi="Times New Roman" w:eastAsia="宋体" w:cs="Times New Roman"/>
      <w:b/>
      <w:spacing w:val="10"/>
      <w:w w:val="95"/>
      <w:sz w:val="21"/>
      <w:lang w:val="en-US" w:eastAsia="zh-CN" w:bidi="ar-SA"/>
    </w:rPr>
  </w:style>
  <w:style w:type="paragraph" w:customStyle="1" w:styleId="336">
    <w:name w:val="Subhead 2"/>
    <w:basedOn w:val="315"/>
    <w:autoRedefine/>
    <w:qFormat/>
    <w:uiPriority w:val="0"/>
    <w:pPr>
      <w:pageBreakBefore w:val="0"/>
      <w:spacing w:before="340" w:line="360" w:lineRule="atLeast"/>
    </w:pPr>
    <w:rPr>
      <w:sz w:val="28"/>
    </w:rPr>
  </w:style>
  <w:style w:type="paragraph" w:customStyle="1" w:styleId="337">
    <w:name w:val="xl27"/>
    <w:basedOn w:val="1"/>
    <w:autoRedefine/>
    <w:qFormat/>
    <w:uiPriority w:val="0"/>
    <w:pPr>
      <w:widowControl/>
      <w:spacing w:before="100" w:beforeAutospacing="1" w:after="100" w:afterAutospacing="1"/>
      <w:jc w:val="center"/>
      <w:textAlignment w:val="center"/>
    </w:pPr>
    <w:rPr>
      <w:rFonts w:hint="eastAsia" w:ascii="楷体_GB2312" w:hAnsi="宋体" w:eastAsia="楷体_GB2312"/>
      <w:b/>
      <w:bCs/>
      <w:kern w:val="0"/>
      <w:sz w:val="28"/>
      <w:szCs w:val="28"/>
    </w:rPr>
  </w:style>
  <w:style w:type="paragraph" w:customStyle="1" w:styleId="338">
    <w:name w:val="标题无"/>
    <w:basedOn w:val="1"/>
    <w:autoRedefine/>
    <w:qFormat/>
    <w:uiPriority w:val="0"/>
    <w:pPr>
      <w:spacing w:line="360" w:lineRule="auto"/>
    </w:pPr>
    <w:rPr>
      <w:sz w:val="24"/>
    </w:rPr>
  </w:style>
  <w:style w:type="paragraph" w:customStyle="1" w:styleId="339">
    <w:name w:val="正文文本1"/>
    <w:autoRedefine/>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340">
    <w:name w:val="Table of Contents"/>
    <w:basedOn w:val="1"/>
    <w:autoRedefine/>
    <w:qFormat/>
    <w:uiPriority w:val="0"/>
    <w:pPr>
      <w:keepLines/>
      <w:widowControl/>
      <w:spacing w:before="120"/>
      <w:jc w:val="center"/>
    </w:pPr>
    <w:rPr>
      <w:rFonts w:ascii="Arial" w:hAnsi="Arial" w:eastAsia="Arial"/>
      <w:b/>
      <w:kern w:val="0"/>
      <w:sz w:val="22"/>
      <w:szCs w:val="20"/>
      <w:lang w:val="en-GB" w:eastAsia="en-US"/>
    </w:rPr>
  </w:style>
  <w:style w:type="paragraph" w:customStyle="1" w:styleId="341">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Cs w:val="21"/>
    </w:rPr>
  </w:style>
  <w:style w:type="paragraph" w:customStyle="1" w:styleId="342">
    <w:name w:val="编号1."/>
    <w:basedOn w:val="1"/>
    <w:autoRedefine/>
    <w:qFormat/>
    <w:uiPriority w:val="0"/>
    <w:pPr>
      <w:tabs>
        <w:tab w:val="left" w:pos="547"/>
        <w:tab w:val="left" w:pos="1000"/>
        <w:tab w:val="left" w:pos="1080"/>
      </w:tabs>
      <w:adjustRightInd w:val="0"/>
      <w:spacing w:line="480" w:lineRule="atLeast"/>
      <w:ind w:left="93" w:firstLine="547"/>
      <w:textAlignment w:val="baseline"/>
    </w:pPr>
    <w:rPr>
      <w:kern w:val="0"/>
      <w:sz w:val="28"/>
      <w:szCs w:val="20"/>
    </w:rPr>
  </w:style>
  <w:style w:type="paragraph" w:customStyle="1" w:styleId="343">
    <w:name w:val="答复正文"/>
    <w:autoRedefine/>
    <w:qFormat/>
    <w:uiPriority w:val="0"/>
    <w:pPr>
      <w:widowControl w:val="0"/>
      <w:spacing w:after="60" w:line="320" w:lineRule="atLeast"/>
      <w:ind w:firstLine="482"/>
      <w:jc w:val="both"/>
    </w:pPr>
    <w:rPr>
      <w:rFonts w:ascii="Times New Roman" w:hAnsi="Times New Roman" w:eastAsia="宋体" w:cs="Times New Roman"/>
      <w:b/>
      <w:bCs/>
      <w:sz w:val="21"/>
      <w:szCs w:val="21"/>
      <w:lang w:val="en-US" w:eastAsia="zh-CN" w:bidi="ar-SA"/>
    </w:rPr>
  </w:style>
  <w:style w:type="paragraph" w:customStyle="1" w:styleId="344">
    <w:name w:val="Style Style Style Body Text + Justified + (Complex) Times New Roman..."/>
    <w:basedOn w:val="1"/>
    <w:autoRedefine/>
    <w:qFormat/>
    <w:uiPriority w:val="0"/>
    <w:pPr>
      <w:tabs>
        <w:tab w:val="left" w:pos="4044"/>
      </w:tabs>
      <w:ind w:left="4044" w:hanging="454"/>
      <w:jc w:val="left"/>
    </w:pPr>
    <w:rPr>
      <w:rFonts w:eastAsia="PMingLiU"/>
      <w:snapToGrid w:val="0"/>
      <w:kern w:val="0"/>
      <w:sz w:val="24"/>
      <w:lang w:val="en-AU"/>
    </w:rPr>
  </w:style>
  <w:style w:type="paragraph" w:customStyle="1" w:styleId="345">
    <w:name w:val="正文格式"/>
    <w:basedOn w:val="1"/>
    <w:autoRedefine/>
    <w:qFormat/>
    <w:uiPriority w:val="0"/>
    <w:pPr>
      <w:tabs>
        <w:tab w:val="left" w:pos="7560"/>
      </w:tabs>
      <w:snapToGrid w:val="0"/>
      <w:spacing w:line="360" w:lineRule="auto"/>
      <w:ind w:left="-23" w:leftChars="-11" w:right="-48" w:rightChars="-23" w:firstLine="5" w:firstLineChars="2"/>
    </w:pPr>
    <w:rPr>
      <w:rFonts w:ascii="宋体" w:hAnsi="宋体"/>
      <w:iCs/>
      <w:color w:val="000000"/>
      <w:sz w:val="24"/>
    </w:rPr>
  </w:style>
  <w:style w:type="paragraph" w:customStyle="1" w:styleId="346">
    <w:name w:val="DOC TITLE"/>
    <w:basedOn w:val="347"/>
    <w:next w:val="1"/>
    <w:autoRedefine/>
    <w:qFormat/>
    <w:uiPriority w:val="0"/>
    <w:pPr>
      <w:tabs>
        <w:tab w:val="left" w:pos="1134"/>
        <w:tab w:val="left" w:pos="2268"/>
        <w:tab w:val="left" w:pos="9214"/>
      </w:tabs>
    </w:pPr>
    <w:rPr>
      <w:caps/>
    </w:rPr>
  </w:style>
  <w:style w:type="paragraph" w:customStyle="1" w:styleId="347">
    <w:name w:val="TITLE1"/>
    <w:basedOn w:val="1"/>
    <w:next w:val="1"/>
    <w:autoRedefine/>
    <w:qFormat/>
    <w:uiPriority w:val="0"/>
    <w:pPr>
      <w:widowControl/>
      <w:tabs>
        <w:tab w:val="left" w:pos="1134"/>
        <w:tab w:val="left" w:pos="2268"/>
        <w:tab w:val="left" w:pos="9214"/>
      </w:tabs>
      <w:spacing w:before="120" w:after="120" w:line="360" w:lineRule="auto"/>
      <w:ind w:left="1134"/>
      <w:jc w:val="center"/>
    </w:pPr>
    <w:rPr>
      <w:rFonts w:ascii="Arial" w:hAnsi="Arial"/>
      <w:kern w:val="0"/>
      <w:sz w:val="32"/>
      <w:szCs w:val="20"/>
      <w:lang w:val="en-GB" w:eastAsia="en-US"/>
    </w:rPr>
  </w:style>
  <w:style w:type="paragraph" w:customStyle="1" w:styleId="348">
    <w:name w:val="答复"/>
    <w:basedOn w:val="1"/>
    <w:autoRedefine/>
    <w:qFormat/>
    <w:uiPriority w:val="0"/>
    <w:pPr>
      <w:spacing w:line="360" w:lineRule="auto"/>
    </w:pPr>
    <w:rPr>
      <w:b/>
      <w:sz w:val="24"/>
      <w:szCs w:val="20"/>
    </w:rPr>
  </w:style>
  <w:style w:type="paragraph" w:customStyle="1" w:styleId="349">
    <w:name w:val="编号-1"/>
    <w:basedOn w:val="1"/>
    <w:autoRedefine/>
    <w:qFormat/>
    <w:uiPriority w:val="0"/>
    <w:pPr>
      <w:tabs>
        <w:tab w:val="left" w:pos="1200"/>
      </w:tabs>
      <w:spacing w:line="500" w:lineRule="exact"/>
      <w:ind w:left="1200" w:hanging="720"/>
    </w:pPr>
    <w:rPr>
      <w:rFonts w:ascii="宋体"/>
      <w:sz w:val="24"/>
      <w:szCs w:val="20"/>
    </w:rPr>
  </w:style>
  <w:style w:type="paragraph" w:customStyle="1" w:styleId="350">
    <w:name w:val="Bullet 2"/>
    <w:basedOn w:val="1"/>
    <w:autoRedefine/>
    <w:qFormat/>
    <w:uiPriority w:val="0"/>
    <w:pPr>
      <w:widowControl/>
      <w:tabs>
        <w:tab w:val="left" w:pos="360"/>
      </w:tabs>
      <w:ind w:left="360" w:hanging="360"/>
    </w:pPr>
    <w:rPr>
      <w:rFonts w:ascii="Arial" w:hAnsi="Arial" w:eastAsia="仿宋_GB2312"/>
      <w:kern w:val="0"/>
      <w:sz w:val="24"/>
      <w:szCs w:val="20"/>
      <w:lang w:val="en-GB" w:eastAsia="en-US"/>
    </w:rPr>
  </w:style>
  <w:style w:type="paragraph" w:customStyle="1" w:styleId="351">
    <w:name w:val="样式 标题 2标题 1.1编号标题22 headlinehheadlineS&amp;R2ERMH2Annex212..."/>
    <w:basedOn w:val="3"/>
    <w:autoRedefine/>
    <w:qFormat/>
    <w:uiPriority w:val="0"/>
    <w:pPr>
      <w:keepNext w:val="0"/>
      <w:keepLines w:val="0"/>
      <w:tabs>
        <w:tab w:val="left" w:pos="1200"/>
        <w:tab w:val="left" w:pos="2340"/>
      </w:tabs>
      <w:snapToGrid w:val="0"/>
      <w:spacing w:beforeLines="100" w:afterLines="50" w:line="360" w:lineRule="auto"/>
      <w:jc w:val="left"/>
    </w:pPr>
    <w:rPr>
      <w:rFonts w:ascii="Times New Roman" w:hAnsi="Times New Roman" w:eastAsia="仿宋_GB2312"/>
      <w:color w:val="000000"/>
      <w:sz w:val="28"/>
    </w:rPr>
  </w:style>
  <w:style w:type="paragraph" w:customStyle="1" w:styleId="352">
    <w:name w:val="样式 首行缩进:  2 字符"/>
    <w:basedOn w:val="1"/>
    <w:autoRedefine/>
    <w:qFormat/>
    <w:uiPriority w:val="0"/>
    <w:pPr>
      <w:topLinePunct/>
      <w:spacing w:line="360" w:lineRule="auto"/>
      <w:ind w:firstLine="200" w:firstLineChars="200"/>
    </w:pPr>
    <w:rPr>
      <w:sz w:val="28"/>
      <w:szCs w:val="20"/>
    </w:rPr>
  </w:style>
  <w:style w:type="paragraph" w:customStyle="1" w:styleId="353">
    <w:name w:val="答复表头"/>
    <w:basedOn w:val="354"/>
    <w:next w:val="1"/>
    <w:autoRedefine/>
    <w:qFormat/>
    <w:uiPriority w:val="0"/>
    <w:pPr>
      <w:widowControl w:val="0"/>
      <w:tabs>
        <w:tab w:val="left" w:pos="480"/>
      </w:tabs>
      <w:spacing w:line="240" w:lineRule="auto"/>
      <w:ind w:firstLine="0"/>
      <w:textAlignment w:val="baseline"/>
    </w:pPr>
    <w:rPr>
      <w:rFonts w:ascii="宋体" w:hAnsi="Tms Rmn"/>
      <w:b/>
      <w:color w:val="000000"/>
      <w:spacing w:val="0"/>
    </w:rPr>
  </w:style>
  <w:style w:type="paragraph" w:customStyle="1" w:styleId="354">
    <w:name w:val="正表头"/>
    <w:basedOn w:val="355"/>
    <w:autoRedefine/>
    <w:qFormat/>
    <w:uiPriority w:val="0"/>
    <w:pPr>
      <w:tabs>
        <w:tab w:val="left" w:pos="480"/>
      </w:tabs>
    </w:pPr>
  </w:style>
  <w:style w:type="paragraph" w:customStyle="1" w:styleId="355">
    <w:name w:val="表头"/>
    <w:basedOn w:val="1"/>
    <w:autoRedefine/>
    <w:qFormat/>
    <w:uiPriority w:val="0"/>
    <w:pPr>
      <w:widowControl/>
      <w:tabs>
        <w:tab w:val="left" w:pos="480"/>
      </w:tabs>
      <w:autoSpaceDE w:val="0"/>
      <w:autoSpaceDN w:val="0"/>
      <w:adjustRightInd w:val="0"/>
      <w:spacing w:line="360" w:lineRule="auto"/>
      <w:ind w:firstLine="459"/>
      <w:jc w:val="center"/>
      <w:textAlignment w:val="bottom"/>
    </w:pPr>
    <w:rPr>
      <w:spacing w:val="10"/>
      <w:kern w:val="0"/>
      <w:szCs w:val="20"/>
    </w:rPr>
  </w:style>
  <w:style w:type="paragraph" w:customStyle="1" w:styleId="356">
    <w:name w:val="Char11"/>
    <w:basedOn w:val="1"/>
    <w:autoRedefine/>
    <w:qFormat/>
    <w:uiPriority w:val="0"/>
    <w:pPr>
      <w:spacing w:line="240" w:lineRule="atLeast"/>
      <w:ind w:left="420" w:firstLine="420"/>
    </w:pPr>
    <w:rPr>
      <w:kern w:val="0"/>
      <w:szCs w:val="21"/>
    </w:rPr>
  </w:style>
  <w:style w:type="paragraph" w:customStyle="1" w:styleId="357">
    <w:name w:val="reader-word-layer reader-word-s1-13"/>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58">
    <w:name w:val="af15hichaf0dbchf15cgrid"/>
    <w:autoRedefine/>
    <w:qFormat/>
    <w:uiPriority w:val="0"/>
    <w:pPr>
      <w:widowControl w:val="0"/>
      <w:tabs>
        <w:tab w:val="center" w:pos="4320"/>
        <w:tab w:val="right" w:pos="8640"/>
      </w:tabs>
      <w:adjustRightInd w:val="0"/>
      <w:spacing w:line="315" w:lineRule="atLeast"/>
      <w:jc w:val="both"/>
      <w:textAlignment w:val="baseline"/>
    </w:pPr>
    <w:rPr>
      <w:rFonts w:ascii="宋体" w:hAnsi="Times New Roman" w:eastAsia="宋体" w:cs="Times New Roman"/>
      <w:sz w:val="21"/>
      <w:lang w:val="en-US" w:eastAsia="zh-CN" w:bidi="ar-SA"/>
    </w:rPr>
  </w:style>
  <w:style w:type="paragraph" w:customStyle="1" w:styleId="359">
    <w:name w:val="Table Description"/>
    <w:next w:val="1"/>
    <w:autoRedefine/>
    <w:qFormat/>
    <w:uiPriority w:val="0"/>
    <w:pPr>
      <w:keepNext/>
      <w:snapToGrid w:val="0"/>
      <w:spacing w:before="160" w:after="80"/>
      <w:ind w:left="1134"/>
      <w:jc w:val="center"/>
    </w:pPr>
    <w:rPr>
      <w:rFonts w:ascii="Arial" w:hAnsi="Arial" w:eastAsia="黑体" w:cs="Arial"/>
      <w:sz w:val="18"/>
      <w:szCs w:val="18"/>
      <w:lang w:val="en-US" w:eastAsia="zh-CN" w:bidi="ar-SA"/>
    </w:rPr>
  </w:style>
  <w:style w:type="paragraph" w:customStyle="1" w:styleId="360">
    <w:name w:val="Procedure"/>
    <w:autoRedefine/>
    <w:qFormat/>
    <w:uiPriority w:val="0"/>
    <w:pPr>
      <w:tabs>
        <w:tab w:val="left" w:pos="720"/>
        <w:tab w:val="left" w:pos="1440"/>
        <w:tab w:val="left" w:pos="2333"/>
        <w:tab w:val="left" w:pos="3053"/>
      </w:tabs>
      <w:suppressAutoHyphens/>
      <w:overflowPunct w:val="0"/>
      <w:autoSpaceDE w:val="0"/>
      <w:autoSpaceDN w:val="0"/>
      <w:adjustRightInd w:val="0"/>
      <w:jc w:val="both"/>
      <w:textAlignment w:val="baseline"/>
    </w:pPr>
    <w:rPr>
      <w:rFonts w:ascii="Times New Roman" w:hAnsi="Times New Roman" w:eastAsia="宋体" w:cs="Times New Roman"/>
      <w:spacing w:val="-3"/>
      <w:sz w:val="24"/>
      <w:lang w:val="en-US" w:eastAsia="zh-CN" w:bidi="ar-SA"/>
    </w:rPr>
  </w:style>
  <w:style w:type="paragraph" w:customStyle="1" w:styleId="361">
    <w:name w:val="节标题_1"/>
    <w:basedOn w:val="1"/>
    <w:next w:val="1"/>
    <w:autoRedefine/>
    <w:qFormat/>
    <w:uiPriority w:val="0"/>
    <w:pPr>
      <w:keepNext/>
      <w:keepLines/>
      <w:widowControl/>
      <w:tabs>
        <w:tab w:val="left" w:pos="1418"/>
      </w:tabs>
      <w:spacing w:before="360"/>
      <w:ind w:left="1418" w:hanging="1418"/>
      <w:jc w:val="left"/>
    </w:pPr>
    <w:rPr>
      <w:rFonts w:ascii="Arial" w:hAnsi="Arial" w:eastAsia="黑体"/>
      <w:b/>
      <w:kern w:val="0"/>
      <w:sz w:val="32"/>
      <w:szCs w:val="20"/>
    </w:rPr>
  </w:style>
  <w:style w:type="paragraph" w:customStyle="1" w:styleId="362">
    <w:name w:val="Contents"/>
    <w:basedOn w:val="1"/>
    <w:next w:val="1"/>
    <w:autoRedefine/>
    <w:qFormat/>
    <w:uiPriority w:val="0"/>
    <w:pPr>
      <w:keepNext/>
      <w:keepLines/>
      <w:widowControl/>
      <w:tabs>
        <w:tab w:val="left" w:pos="360"/>
      </w:tabs>
      <w:spacing w:before="240" w:after="180"/>
      <w:jc w:val="center"/>
    </w:pPr>
    <w:rPr>
      <w:rFonts w:ascii="Arial" w:hAnsi="Arial"/>
      <w:b/>
      <w:smallCaps/>
      <w:kern w:val="0"/>
      <w:sz w:val="22"/>
      <w:szCs w:val="20"/>
      <w:lang w:val="en-GB" w:eastAsia="en-US"/>
    </w:rPr>
  </w:style>
  <w:style w:type="paragraph" w:customStyle="1" w:styleId="363">
    <w:name w:val="List Number Last"/>
    <w:basedOn w:val="18"/>
    <w:next w:val="29"/>
    <w:autoRedefine/>
    <w:qFormat/>
    <w:uiPriority w:val="0"/>
    <w:pPr>
      <w:widowControl/>
      <w:numPr>
        <w:ilvl w:val="0"/>
        <w:numId w:val="0"/>
      </w:numPr>
      <w:spacing w:before="120" w:after="240" w:line="240" w:lineRule="auto"/>
      <w:ind w:left="720" w:right="274" w:hanging="360"/>
    </w:pPr>
    <w:rPr>
      <w:rFonts w:ascii="Univers" w:hAnsi="Univers" w:eastAsia="MS Mincho"/>
      <w:spacing w:val="0"/>
      <w:kern w:val="0"/>
      <w:sz w:val="22"/>
      <w:lang w:val="en-GB" w:eastAsia="ja-JP"/>
    </w:rPr>
  </w:style>
  <w:style w:type="paragraph" w:customStyle="1" w:styleId="364">
    <w:name w:val="CM19"/>
    <w:basedOn w:val="248"/>
    <w:next w:val="248"/>
    <w:autoRedefine/>
    <w:qFormat/>
    <w:uiPriority w:val="0"/>
    <w:pPr>
      <w:spacing w:line="468" w:lineRule="atLeast"/>
    </w:pPr>
    <w:rPr>
      <w:color w:val="auto"/>
    </w:rPr>
  </w:style>
  <w:style w:type="paragraph" w:customStyle="1" w:styleId="365">
    <w:name w:val="列出段落2"/>
    <w:basedOn w:val="1"/>
    <w:autoRedefine/>
    <w:qFormat/>
    <w:uiPriority w:val="0"/>
    <w:pPr>
      <w:ind w:left="720"/>
    </w:pPr>
  </w:style>
  <w:style w:type="paragraph" w:customStyle="1" w:styleId="366">
    <w:name w:val="表文"/>
    <w:basedOn w:val="185"/>
    <w:autoRedefine/>
    <w:qFormat/>
    <w:uiPriority w:val="0"/>
    <w:pPr>
      <w:spacing w:line="240" w:lineRule="auto"/>
      <w:jc w:val="center"/>
    </w:pPr>
    <w:rPr>
      <w:sz w:val="21"/>
    </w:rPr>
  </w:style>
  <w:style w:type="paragraph" w:customStyle="1" w:styleId="367">
    <w:name w:val="E"/>
    <w:basedOn w:val="1"/>
    <w:autoRedefine/>
    <w:qFormat/>
    <w:uiPriority w:val="0"/>
  </w:style>
  <w:style w:type="paragraph" w:customStyle="1" w:styleId="368">
    <w:name w:val="表中"/>
    <w:basedOn w:val="1"/>
    <w:autoRedefine/>
    <w:qFormat/>
    <w:uiPriority w:val="0"/>
    <w:pPr>
      <w:adjustRightInd w:val="0"/>
      <w:spacing w:line="360" w:lineRule="atLeast"/>
      <w:jc w:val="center"/>
      <w:textAlignment w:val="baseline"/>
    </w:pPr>
    <w:rPr>
      <w:kern w:val="0"/>
      <w:szCs w:val="20"/>
    </w:rPr>
  </w:style>
  <w:style w:type="paragraph" w:customStyle="1" w:styleId="369">
    <w:name w:val="表注"/>
    <w:basedOn w:val="185"/>
    <w:next w:val="366"/>
    <w:autoRedefine/>
    <w:qFormat/>
    <w:uiPriority w:val="0"/>
    <w:pPr>
      <w:spacing w:beforeLines="25" w:line="240" w:lineRule="auto"/>
      <w:ind w:left="200" w:hanging="200" w:hangingChars="200"/>
    </w:pPr>
    <w:rPr>
      <w:rFonts w:ascii="Times New Roman" w:hAnsi="Times New Roman" w:eastAsia="楷体_GB2312"/>
      <w:sz w:val="21"/>
    </w:rPr>
  </w:style>
  <w:style w:type="paragraph" w:customStyle="1" w:styleId="370">
    <w:name w:val="epc2"/>
    <w:basedOn w:val="1"/>
    <w:autoRedefine/>
    <w:qFormat/>
    <w:uiPriority w:val="0"/>
    <w:pPr>
      <w:spacing w:before="240" w:after="120"/>
      <w:jc w:val="left"/>
    </w:pPr>
    <w:rPr>
      <w:rFonts w:ascii="Univers (WN)" w:hAnsi="Univers (WN)"/>
      <w:b/>
      <w:kern w:val="0"/>
      <w:sz w:val="20"/>
      <w:szCs w:val="20"/>
      <w:lang w:val="en-GB" w:eastAsia="en-US"/>
    </w:rPr>
  </w:style>
  <w:style w:type="paragraph" w:customStyle="1" w:styleId="371">
    <w:name w:val="Char Char Char Char Char"/>
    <w:basedOn w:val="1"/>
    <w:autoRedefine/>
    <w:semiHidden/>
    <w:qFormat/>
    <w:uiPriority w:val="0"/>
    <w:pPr>
      <w:widowControl/>
      <w:spacing w:after="80" w:line="240" w:lineRule="exact"/>
    </w:pPr>
    <w:rPr>
      <w:rFonts w:ascii="Arial" w:hAnsi="Arial"/>
      <w:kern w:val="0"/>
      <w:sz w:val="22"/>
      <w:szCs w:val="22"/>
      <w:lang w:eastAsia="en-US"/>
    </w:rPr>
  </w:style>
  <w:style w:type="paragraph" w:customStyle="1" w:styleId="372">
    <w:name w:val="CM4"/>
    <w:basedOn w:val="248"/>
    <w:next w:val="248"/>
    <w:autoRedefine/>
    <w:qFormat/>
    <w:uiPriority w:val="0"/>
    <w:pPr>
      <w:spacing w:line="468" w:lineRule="atLeast"/>
    </w:pPr>
    <w:rPr>
      <w:color w:val="auto"/>
    </w:rPr>
  </w:style>
  <w:style w:type="paragraph" w:customStyle="1" w:styleId="373">
    <w:name w:val="Subhead 3"/>
    <w:basedOn w:val="336"/>
    <w:autoRedefine/>
    <w:qFormat/>
    <w:uiPriority w:val="0"/>
    <w:pPr>
      <w:spacing w:line="300" w:lineRule="atLeast"/>
    </w:pPr>
    <w:rPr>
      <w:sz w:val="24"/>
    </w:rPr>
  </w:style>
  <w:style w:type="paragraph" w:customStyle="1" w:styleId="374">
    <w:name w:val="xl3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eastAsia="Arial Unicode MS"/>
      <w:kern w:val="0"/>
      <w:sz w:val="24"/>
    </w:rPr>
  </w:style>
  <w:style w:type="paragraph" w:customStyle="1" w:styleId="375">
    <w:name w:val="CM2"/>
    <w:basedOn w:val="248"/>
    <w:next w:val="248"/>
    <w:autoRedefine/>
    <w:qFormat/>
    <w:uiPriority w:val="0"/>
    <w:pPr>
      <w:spacing w:line="280" w:lineRule="atLeast"/>
    </w:pPr>
    <w:rPr>
      <w:color w:val="auto"/>
    </w:rPr>
  </w:style>
  <w:style w:type="paragraph" w:customStyle="1" w:styleId="376">
    <w:name w:val="Title 2"/>
    <w:basedOn w:val="1"/>
    <w:autoRedefine/>
    <w:qFormat/>
    <w:uiPriority w:val="0"/>
    <w:pPr>
      <w:widowControl/>
      <w:jc w:val="center"/>
    </w:pPr>
    <w:rPr>
      <w:rFonts w:ascii="Arial" w:hAnsi="Arial"/>
      <w:b/>
      <w:kern w:val="0"/>
      <w:sz w:val="24"/>
      <w:szCs w:val="20"/>
      <w:lang w:val="en-GB" w:eastAsia="en-US"/>
    </w:rPr>
  </w:style>
  <w:style w:type="paragraph" w:customStyle="1" w:styleId="377">
    <w:name w:val="题名"/>
    <w:basedOn w:val="1"/>
    <w:next w:val="1"/>
    <w:autoRedefine/>
    <w:qFormat/>
    <w:uiPriority w:val="0"/>
    <w:pPr>
      <w:tabs>
        <w:tab w:val="left" w:pos="1280"/>
      </w:tabs>
      <w:spacing w:line="360" w:lineRule="auto"/>
      <w:ind w:left="1280" w:hanging="720"/>
      <w:jc w:val="left"/>
    </w:pPr>
    <w:rPr>
      <w:b/>
      <w:kern w:val="0"/>
      <w:sz w:val="28"/>
      <w:szCs w:val="20"/>
    </w:rPr>
  </w:style>
  <w:style w:type="paragraph" w:customStyle="1" w:styleId="378">
    <w:name w:val="Appendix Title Page"/>
    <w:basedOn w:val="2"/>
    <w:autoRedefine/>
    <w:qFormat/>
    <w:uiPriority w:val="0"/>
    <w:pPr>
      <w:keepLines/>
      <w:pageBreakBefore/>
      <w:widowControl/>
      <w:tabs>
        <w:tab w:val="left" w:pos="-720"/>
      </w:tabs>
      <w:spacing w:before="360" w:after="120" w:line="480" w:lineRule="auto"/>
      <w:ind w:left="-576"/>
      <w:outlineLvl w:val="9"/>
    </w:pPr>
    <w:rPr>
      <w:rFonts w:ascii="Arial" w:hAnsi="Arial"/>
      <w:b/>
      <w:caps/>
      <w:kern w:val="0"/>
      <w:sz w:val="36"/>
      <w:lang w:val="en-GB" w:eastAsia="en-US"/>
    </w:rPr>
  </w:style>
  <w:style w:type="paragraph" w:customStyle="1" w:styleId="379">
    <w:name w:val="Title 1"/>
    <w:basedOn w:val="376"/>
    <w:autoRedefine/>
    <w:qFormat/>
    <w:uiPriority w:val="0"/>
    <w:rPr>
      <w:u w:val="single"/>
    </w:rPr>
  </w:style>
  <w:style w:type="paragraph" w:customStyle="1" w:styleId="380">
    <w:name w:val="Plain Text1"/>
    <w:basedOn w:val="1"/>
    <w:autoRedefine/>
    <w:qFormat/>
    <w:uiPriority w:val="0"/>
    <w:pPr>
      <w:adjustRightInd w:val="0"/>
      <w:textAlignment w:val="baseline"/>
    </w:pPr>
    <w:rPr>
      <w:rFonts w:ascii="宋体" w:hAnsi="Courier New"/>
      <w:szCs w:val="20"/>
    </w:rPr>
  </w:style>
  <w:style w:type="paragraph" w:customStyle="1" w:styleId="381">
    <w:name w:val="CM32"/>
    <w:basedOn w:val="248"/>
    <w:next w:val="248"/>
    <w:autoRedefine/>
    <w:qFormat/>
    <w:uiPriority w:val="0"/>
    <w:rPr>
      <w:color w:val="auto"/>
    </w:rPr>
  </w:style>
  <w:style w:type="paragraph" w:customStyle="1" w:styleId="382">
    <w:name w:val="标题--（1）"/>
    <w:basedOn w:val="1"/>
    <w:autoRedefine/>
    <w:qFormat/>
    <w:uiPriority w:val="0"/>
    <w:pPr>
      <w:tabs>
        <w:tab w:val="left" w:pos="567"/>
      </w:tabs>
      <w:adjustRightInd w:val="0"/>
      <w:spacing w:line="360" w:lineRule="auto"/>
      <w:jc w:val="left"/>
      <w:textAlignment w:val="baseline"/>
    </w:pPr>
    <w:rPr>
      <w:rFonts w:ascii="Arial" w:hAnsi="Arial" w:eastAsia="楷体_GB2312"/>
      <w:kern w:val="0"/>
      <w:sz w:val="24"/>
      <w:szCs w:val="20"/>
    </w:rPr>
  </w:style>
  <w:style w:type="paragraph" w:customStyle="1" w:styleId="383">
    <w:name w:val="正文2级项目符号"/>
    <w:basedOn w:val="29"/>
    <w:autoRedefine/>
    <w:qFormat/>
    <w:uiPriority w:val="0"/>
    <w:pPr>
      <w:keepNext/>
      <w:widowControl/>
      <w:suppressLineNumbers/>
      <w:tabs>
        <w:tab w:val="left" w:pos="900"/>
      </w:tabs>
      <w:suppressAutoHyphens/>
      <w:spacing w:before="120" w:after="0" w:line="360" w:lineRule="exact"/>
      <w:ind w:left="900" w:hanging="420"/>
      <w:jc w:val="left"/>
    </w:pPr>
    <w:rPr>
      <w:kern w:val="0"/>
      <w:sz w:val="24"/>
      <w:szCs w:val="20"/>
    </w:rPr>
  </w:style>
  <w:style w:type="paragraph" w:customStyle="1" w:styleId="384">
    <w:name w:val="Char Char Char Char Char Char Char Char Char Char1"/>
    <w:basedOn w:val="1"/>
    <w:autoRedefine/>
    <w:qFormat/>
    <w:uiPriority w:val="0"/>
    <w:pPr>
      <w:keepNext/>
      <w:widowControl/>
      <w:tabs>
        <w:tab w:val="left" w:pos="425"/>
      </w:tabs>
      <w:autoSpaceDE w:val="0"/>
      <w:autoSpaceDN w:val="0"/>
      <w:adjustRightInd w:val="0"/>
      <w:spacing w:before="80" w:after="80"/>
      <w:ind w:hanging="425"/>
    </w:pPr>
    <w:rPr>
      <w:rFonts w:ascii="Arial" w:hAnsi="Arial" w:cs="Arial"/>
      <w:sz w:val="20"/>
      <w:szCs w:val="20"/>
    </w:rPr>
  </w:style>
  <w:style w:type="paragraph" w:customStyle="1" w:styleId="385">
    <w:name w:val="Char1"/>
    <w:basedOn w:val="1"/>
    <w:autoRedefine/>
    <w:qFormat/>
    <w:uiPriority w:val="0"/>
  </w:style>
  <w:style w:type="paragraph" w:customStyle="1" w:styleId="386">
    <w:name w:val="Notes Text in Table"/>
    <w:autoRedefine/>
    <w:qFormat/>
    <w:uiPriority w:val="0"/>
    <w:pPr>
      <w:keepLines/>
      <w:spacing w:before="40" w:after="40"/>
      <w:jc w:val="both"/>
    </w:pPr>
    <w:rPr>
      <w:rFonts w:ascii="Arial" w:hAnsi="Arial" w:eastAsia="楷体_GB2312" w:cs="Arial"/>
      <w:sz w:val="18"/>
      <w:szCs w:val="18"/>
      <w:lang w:val="en-US" w:eastAsia="zh-CN" w:bidi="ar-SA"/>
    </w:rPr>
  </w:style>
  <w:style w:type="paragraph" w:customStyle="1" w:styleId="387">
    <w:name w:val="Table_Head"/>
    <w:basedOn w:val="1"/>
    <w:autoRedefine/>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360" w:lineRule="auto"/>
      <w:ind w:firstLine="459"/>
      <w:jc w:val="center"/>
    </w:pPr>
    <w:rPr>
      <w:b/>
      <w:spacing w:val="10"/>
      <w:kern w:val="0"/>
      <w:sz w:val="22"/>
      <w:szCs w:val="20"/>
      <w:lang w:val="en-GB"/>
    </w:rPr>
  </w:style>
  <w:style w:type="paragraph" w:customStyle="1" w:styleId="388">
    <w:name w:val="Char Char Char Char Char Char Char Char Char1"/>
    <w:basedOn w:val="1"/>
    <w:autoRedefine/>
    <w:qFormat/>
    <w:uiPriority w:val="0"/>
    <w:pPr>
      <w:spacing w:line="360" w:lineRule="auto"/>
      <w:ind w:firstLine="200" w:firstLineChars="200"/>
    </w:pPr>
    <w:rPr>
      <w:rFonts w:ascii="宋体" w:hAnsi="宋体" w:cs="宋体"/>
      <w:sz w:val="24"/>
    </w:rPr>
  </w:style>
  <w:style w:type="paragraph" w:customStyle="1" w:styleId="389">
    <w:name w:val="CM21"/>
    <w:basedOn w:val="248"/>
    <w:next w:val="248"/>
    <w:autoRedefine/>
    <w:qFormat/>
    <w:uiPriority w:val="0"/>
    <w:pPr>
      <w:spacing w:line="468" w:lineRule="atLeast"/>
    </w:pPr>
    <w:rPr>
      <w:color w:val="auto"/>
    </w:rPr>
  </w:style>
  <w:style w:type="paragraph" w:customStyle="1" w:styleId="390">
    <w:name w:val="表题"/>
    <w:basedOn w:val="185"/>
    <w:autoRedefine/>
    <w:qFormat/>
    <w:uiPriority w:val="0"/>
    <w:rPr>
      <w:rFonts w:ascii="Times New Roman" w:hAnsi="Times New Roman" w:eastAsia="黑体"/>
    </w:rPr>
  </w:style>
  <w:style w:type="paragraph" w:customStyle="1" w:styleId="391">
    <w:name w:val="s5000"/>
    <w:basedOn w:val="1"/>
    <w:autoRedefine/>
    <w:qFormat/>
    <w:uiPriority w:val="0"/>
    <w:pPr>
      <w:ind w:left="567" w:right="567" w:firstLine="624"/>
    </w:pPr>
    <w:rPr>
      <w:sz w:val="30"/>
      <w:szCs w:val="20"/>
    </w:rPr>
  </w:style>
  <w:style w:type="paragraph" w:customStyle="1" w:styleId="392">
    <w:name w:val="PMC Procedure Footer"/>
    <w:basedOn w:val="47"/>
    <w:autoRedefine/>
    <w:qFormat/>
    <w:uiPriority w:val="0"/>
    <w:pPr>
      <w:pBdr>
        <w:top w:val="single" w:color="auto" w:sz="4" w:space="0"/>
      </w:pBdr>
      <w:tabs>
        <w:tab w:val="left" w:pos="5812"/>
        <w:tab w:val="left" w:pos="6663"/>
        <w:tab w:val="clear" w:pos="4153"/>
        <w:tab w:val="clear" w:pos="8306"/>
      </w:tabs>
      <w:snapToGrid/>
    </w:pPr>
    <w:rPr>
      <w:rFonts w:ascii="Arial" w:hAnsi="Arial" w:cs="Arial"/>
      <w:color w:val="000000"/>
      <w:kern w:val="0"/>
      <w:sz w:val="16"/>
      <w:szCs w:val="16"/>
      <w:lang w:val="en-GB" w:eastAsia="en-US"/>
    </w:rPr>
  </w:style>
  <w:style w:type="paragraph" w:customStyle="1" w:styleId="393">
    <w:name w:val="CM43"/>
    <w:basedOn w:val="248"/>
    <w:next w:val="248"/>
    <w:autoRedefine/>
    <w:qFormat/>
    <w:uiPriority w:val="0"/>
    <w:pPr>
      <w:spacing w:after="803"/>
    </w:pPr>
    <w:rPr>
      <w:color w:val="auto"/>
    </w:rPr>
  </w:style>
  <w:style w:type="paragraph" w:customStyle="1" w:styleId="394">
    <w:name w:val="Char Char Char Char Char Char Char Char Char"/>
    <w:basedOn w:val="1"/>
    <w:autoRedefine/>
    <w:qFormat/>
    <w:uiPriority w:val="0"/>
    <w:pPr>
      <w:spacing w:line="360" w:lineRule="auto"/>
      <w:ind w:firstLine="200" w:firstLineChars="200"/>
    </w:pPr>
    <w:rPr>
      <w:rFonts w:ascii="宋体" w:hAnsi="宋体" w:cs="宋体"/>
      <w:sz w:val="24"/>
    </w:rPr>
  </w:style>
  <w:style w:type="paragraph" w:customStyle="1" w:styleId="395">
    <w:name w:val="数字编号列项（二级）"/>
    <w:autoRedefine/>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396">
    <w:name w:val="Header Even"/>
    <w:basedOn w:val="48"/>
    <w:autoRedefine/>
    <w:qFormat/>
    <w:uiPriority w:val="0"/>
    <w:pPr>
      <w:keepLines/>
      <w:widowControl/>
      <w:pBdr>
        <w:bottom w:val="none" w:color="auto" w:sz="0" w:space="0"/>
      </w:pBdr>
      <w:tabs>
        <w:tab w:val="center" w:pos="4320"/>
        <w:tab w:val="right" w:pos="8640"/>
        <w:tab w:val="clear" w:pos="4153"/>
        <w:tab w:val="clear" w:pos="8306"/>
      </w:tabs>
      <w:snapToGrid/>
      <w:jc w:val="left"/>
    </w:pPr>
    <w:rPr>
      <w:rFonts w:ascii="Arial" w:hAnsi="Arial" w:eastAsia="MS Mincho"/>
      <w:kern w:val="0"/>
      <w:sz w:val="24"/>
      <w:szCs w:val="20"/>
      <w:lang w:val="en-GB" w:eastAsia="ja-JP"/>
    </w:rPr>
  </w:style>
  <w:style w:type="paragraph" w:customStyle="1" w:styleId="397">
    <w:name w:val="epc02"/>
    <w:basedOn w:val="1"/>
    <w:autoRedefine/>
    <w:qFormat/>
    <w:uiPriority w:val="0"/>
    <w:pPr>
      <w:widowControl/>
      <w:spacing w:before="480" w:after="120"/>
    </w:pPr>
    <w:rPr>
      <w:rFonts w:ascii="Univers (WN)" w:hAnsi="Univers (WN)"/>
      <w:b/>
      <w:kern w:val="0"/>
      <w:sz w:val="22"/>
      <w:szCs w:val="20"/>
      <w:lang w:val="en-GB" w:eastAsia="en-US"/>
    </w:rPr>
  </w:style>
  <w:style w:type="paragraph" w:customStyle="1" w:styleId="398">
    <w:name w:val="p0"/>
    <w:basedOn w:val="1"/>
    <w:autoRedefine/>
    <w:qFormat/>
    <w:uiPriority w:val="0"/>
    <w:pPr>
      <w:widowControl/>
    </w:pPr>
    <w:rPr>
      <w:kern w:val="0"/>
      <w:szCs w:val="21"/>
    </w:rPr>
  </w:style>
  <w:style w:type="paragraph" w:customStyle="1" w:styleId="399">
    <w:name w:val="buttonbar"/>
    <w:basedOn w:val="1"/>
    <w:autoRedefine/>
    <w:qFormat/>
    <w:uiPriority w:val="0"/>
    <w:pPr>
      <w:widowControl/>
      <w:spacing w:beforeLines="25" w:beforeAutospacing="1" w:afterLines="25" w:afterAutospacing="1"/>
      <w:jc w:val="left"/>
    </w:pPr>
    <w:rPr>
      <w:rFonts w:ascii="宋体" w:hAnsi="宋体"/>
      <w:kern w:val="0"/>
      <w:sz w:val="24"/>
    </w:rPr>
  </w:style>
  <w:style w:type="paragraph" w:customStyle="1" w:styleId="400">
    <w:name w:val="Char Char Char Char Char Char Char"/>
    <w:basedOn w:val="22"/>
    <w:autoRedefine/>
    <w:qFormat/>
    <w:uiPriority w:val="0"/>
    <w:pPr>
      <w:spacing w:line="360" w:lineRule="auto"/>
      <w:ind w:firstLine="200" w:firstLineChars="200"/>
    </w:pPr>
    <w:rPr>
      <w:rFonts w:ascii="Tahoma" w:hAnsi="Tahoma"/>
      <w:sz w:val="24"/>
    </w:rPr>
  </w:style>
  <w:style w:type="paragraph" w:customStyle="1" w:styleId="401">
    <w:name w:val="标准"/>
    <w:basedOn w:val="1"/>
    <w:autoRedefine/>
    <w:qFormat/>
    <w:uiPriority w:val="0"/>
    <w:pPr>
      <w:adjustRightInd w:val="0"/>
      <w:jc w:val="center"/>
      <w:textAlignment w:val="baseline"/>
    </w:pPr>
    <w:rPr>
      <w:kern w:val="0"/>
      <w:szCs w:val="20"/>
    </w:rPr>
  </w:style>
  <w:style w:type="paragraph" w:customStyle="1" w:styleId="402">
    <w:name w:val="Header First"/>
    <w:basedOn w:val="48"/>
    <w:autoRedefine/>
    <w:qFormat/>
    <w:uiPriority w:val="0"/>
    <w:pPr>
      <w:keepLines/>
      <w:widowControl/>
      <w:pBdr>
        <w:bottom w:val="none" w:color="auto" w:sz="0" w:space="0"/>
      </w:pBdr>
      <w:tabs>
        <w:tab w:val="center" w:pos="4320"/>
        <w:tab w:val="clear" w:pos="4153"/>
        <w:tab w:val="clear" w:pos="8306"/>
      </w:tabs>
      <w:snapToGrid/>
    </w:pPr>
    <w:rPr>
      <w:rFonts w:ascii="Arial" w:hAnsi="Arial" w:eastAsia="MS Mincho"/>
      <w:kern w:val="0"/>
      <w:sz w:val="24"/>
      <w:szCs w:val="20"/>
      <w:lang w:val="en-GB" w:eastAsia="ja-JP"/>
    </w:rPr>
  </w:style>
  <w:style w:type="paragraph" w:customStyle="1" w:styleId="403">
    <w:name w:val="图表小四中对齐"/>
    <w:basedOn w:val="1"/>
    <w:autoRedefine/>
    <w:qFormat/>
    <w:uiPriority w:val="0"/>
    <w:pPr>
      <w:adjustRightInd w:val="0"/>
      <w:spacing w:line="360" w:lineRule="exact"/>
      <w:jc w:val="center"/>
      <w:textAlignment w:val="baseline"/>
    </w:pPr>
    <w:rPr>
      <w:color w:val="000000"/>
      <w:sz w:val="24"/>
    </w:rPr>
  </w:style>
  <w:style w:type="paragraph" w:customStyle="1" w:styleId="404">
    <w:name w:val="Body Text 1"/>
    <w:basedOn w:val="1"/>
    <w:autoRedefine/>
    <w:qFormat/>
    <w:uiPriority w:val="0"/>
    <w:pPr>
      <w:widowControl/>
      <w:spacing w:before="120" w:after="120" w:line="360" w:lineRule="auto"/>
      <w:ind w:left="720"/>
    </w:pPr>
    <w:rPr>
      <w:rFonts w:ascii="Arial" w:hAnsi="Arial"/>
      <w:kern w:val="0"/>
      <w:sz w:val="22"/>
      <w:szCs w:val="20"/>
      <w:lang w:eastAsia="en-US"/>
    </w:rPr>
  </w:style>
  <w:style w:type="paragraph" w:customStyle="1" w:styleId="405">
    <w:name w:val="Body1"/>
    <w:basedOn w:val="2"/>
    <w:autoRedefine/>
    <w:qFormat/>
    <w:uiPriority w:val="0"/>
    <w:pPr>
      <w:widowControl/>
      <w:tabs>
        <w:tab w:val="left" w:pos="420"/>
        <w:tab w:val="left" w:pos="1008"/>
      </w:tabs>
      <w:spacing w:before="120" w:after="240"/>
      <w:ind w:left="1008" w:hanging="1008"/>
      <w:jc w:val="left"/>
      <w:outlineLvl w:val="9"/>
    </w:pPr>
    <w:rPr>
      <w:rFonts w:ascii="Arial" w:hAnsi="Arial" w:eastAsia="PMingLiU"/>
      <w:caps/>
      <w:kern w:val="28"/>
      <w:szCs w:val="28"/>
      <w:lang w:eastAsia="zh-TW"/>
    </w:rPr>
  </w:style>
  <w:style w:type="paragraph" w:customStyle="1" w:styleId="406">
    <w:name w:val="注示头"/>
    <w:basedOn w:val="1"/>
    <w:autoRedefine/>
    <w:qFormat/>
    <w:uiPriority w:val="0"/>
    <w:pPr>
      <w:pBdr>
        <w:top w:val="single" w:color="000000" w:sz="4" w:space="1"/>
      </w:pBdr>
      <w:adjustRightInd w:val="0"/>
      <w:spacing w:line="312" w:lineRule="atLeast"/>
      <w:ind w:firstLine="420"/>
      <w:textAlignment w:val="baseline"/>
    </w:pPr>
    <w:rPr>
      <w:rFonts w:ascii="Arial" w:hAnsi="Arial" w:eastAsia="黑体"/>
      <w:kern w:val="0"/>
      <w:sz w:val="18"/>
      <w:szCs w:val="20"/>
    </w:rPr>
  </w:style>
  <w:style w:type="paragraph" w:customStyle="1" w:styleId="407">
    <w:name w:val="TxBr_p19"/>
    <w:basedOn w:val="1"/>
    <w:autoRedefine/>
    <w:qFormat/>
    <w:uiPriority w:val="0"/>
    <w:pPr>
      <w:spacing w:line="277" w:lineRule="atLeast"/>
      <w:jc w:val="left"/>
    </w:pPr>
    <w:rPr>
      <w:kern w:val="0"/>
      <w:sz w:val="22"/>
      <w:szCs w:val="20"/>
    </w:rPr>
  </w:style>
  <w:style w:type="paragraph" w:customStyle="1" w:styleId="408">
    <w:name w:val="Jazzy"/>
    <w:autoRedefine/>
    <w:qFormat/>
    <w:uiPriority w:val="0"/>
    <w:pPr>
      <w:overflowPunct w:val="0"/>
      <w:autoSpaceDE w:val="0"/>
      <w:autoSpaceDN w:val="0"/>
      <w:adjustRightInd w:val="0"/>
      <w:jc w:val="center"/>
      <w:textAlignment w:val="baseline"/>
    </w:pPr>
    <w:rPr>
      <w:rFonts w:ascii="Times New Roman" w:hAnsi="Times New Roman" w:eastAsia="宋体" w:cs="Times New Roman"/>
      <w:b/>
      <w:sz w:val="24"/>
      <w:lang w:val="en-US" w:eastAsia="zh-CN" w:bidi="ar-SA"/>
    </w:rPr>
  </w:style>
  <w:style w:type="paragraph" w:customStyle="1" w:styleId="409">
    <w:name w:val="样式 正文(缩进) + 首行缩进:  2 字符"/>
    <w:basedOn w:val="1"/>
    <w:autoRedefine/>
    <w:qFormat/>
    <w:uiPriority w:val="0"/>
    <w:pPr>
      <w:spacing w:line="360" w:lineRule="auto"/>
      <w:ind w:firstLine="480" w:firstLineChars="200"/>
    </w:pPr>
    <w:rPr>
      <w:rFonts w:cs="宋体"/>
      <w:sz w:val="24"/>
      <w:szCs w:val="20"/>
    </w:rPr>
  </w:style>
  <w:style w:type="paragraph" w:customStyle="1" w:styleId="410">
    <w:name w:val="图表"/>
    <w:basedOn w:val="111"/>
    <w:next w:val="1"/>
    <w:autoRedefine/>
    <w:qFormat/>
    <w:uiPriority w:val="0"/>
    <w:pPr>
      <w:widowControl w:val="0"/>
      <w:autoSpaceDE w:val="0"/>
      <w:autoSpaceDN w:val="0"/>
      <w:snapToGrid/>
      <w:spacing w:line="240" w:lineRule="auto"/>
      <w:ind w:right="34" w:firstLine="0" w:firstLineChars="0"/>
      <w:jc w:val="both"/>
    </w:pPr>
    <w:rPr>
      <w:rFonts w:ascii="Times New Roman" w:hAnsi="Times New Roman" w:eastAsia="黑体"/>
      <w:b w:val="0"/>
      <w:sz w:val="22"/>
      <w:lang w:eastAsia="zh-CN"/>
    </w:rPr>
  </w:style>
  <w:style w:type="paragraph" w:customStyle="1" w:styleId="411">
    <w:name w:val="编写建议"/>
    <w:basedOn w:val="1"/>
    <w:autoRedefine/>
    <w:qFormat/>
    <w:uiPriority w:val="0"/>
    <w:pPr>
      <w:adjustRightInd w:val="0"/>
      <w:spacing w:line="312" w:lineRule="atLeast"/>
      <w:ind w:firstLine="420"/>
      <w:textAlignment w:val="baseline"/>
    </w:pPr>
    <w:rPr>
      <w:rFonts w:ascii="Arial" w:hAnsi="Arial" w:cs="Arial"/>
      <w:i/>
      <w:color w:val="0000FF"/>
      <w:kern w:val="0"/>
      <w:sz w:val="24"/>
      <w:szCs w:val="20"/>
    </w:rPr>
  </w:style>
  <w:style w:type="paragraph" w:customStyle="1" w:styleId="412">
    <w:name w:val="Char Char Char Char"/>
    <w:basedOn w:val="1"/>
    <w:autoRedefine/>
    <w:qFormat/>
    <w:uiPriority w:val="0"/>
  </w:style>
  <w:style w:type="paragraph" w:customStyle="1" w:styleId="413">
    <w:name w:val="xl25"/>
    <w:basedOn w:val="1"/>
    <w:autoRedefine/>
    <w:qFormat/>
    <w:uiPriority w:val="0"/>
    <w:pPr>
      <w:widowControl/>
      <w:spacing w:before="100" w:beforeAutospacing="1" w:after="100" w:afterAutospacing="1"/>
      <w:jc w:val="center"/>
    </w:pPr>
    <w:rPr>
      <w:rFonts w:ascii="宋体" w:hAnsi="宋体"/>
      <w:kern w:val="0"/>
      <w:sz w:val="24"/>
    </w:rPr>
  </w:style>
  <w:style w:type="paragraph" w:customStyle="1" w:styleId="414">
    <w:name w:val="bullet"/>
    <w:basedOn w:val="1"/>
    <w:autoRedefine/>
    <w:qFormat/>
    <w:uiPriority w:val="0"/>
    <w:pPr>
      <w:widowControl/>
      <w:tabs>
        <w:tab w:val="left" w:pos="1276"/>
        <w:tab w:val="left" w:pos="2160"/>
        <w:tab w:val="left" w:pos="3686"/>
      </w:tabs>
      <w:spacing w:after="120"/>
      <w:ind w:left="1276" w:hanging="360"/>
    </w:pPr>
    <w:rPr>
      <w:rFonts w:eastAsia="Times New Roman"/>
      <w:kern w:val="0"/>
      <w:sz w:val="24"/>
      <w:szCs w:val="20"/>
      <w:lang w:val="en-GB" w:eastAsia="en-US"/>
    </w:rPr>
  </w:style>
  <w:style w:type="paragraph" w:customStyle="1" w:styleId="415">
    <w:name w:val="È±Ê¡ÎÄ±¾"/>
    <w:basedOn w:val="1"/>
    <w:autoRedefine/>
    <w:qFormat/>
    <w:uiPriority w:val="0"/>
    <w:pPr>
      <w:overflowPunct w:val="0"/>
      <w:autoSpaceDE w:val="0"/>
      <w:autoSpaceDN w:val="0"/>
      <w:adjustRightInd w:val="0"/>
      <w:ind w:firstLine="420"/>
      <w:jc w:val="left"/>
    </w:pPr>
    <w:rPr>
      <w:rFonts w:ascii="宋体" w:hAnsi="宋体"/>
      <w:kern w:val="0"/>
      <w:sz w:val="24"/>
      <w:szCs w:val="20"/>
    </w:rPr>
  </w:style>
  <w:style w:type="paragraph" w:customStyle="1" w:styleId="416">
    <w:name w:val="Figure Description"/>
    <w:next w:val="1"/>
    <w:autoRedefine/>
    <w:qFormat/>
    <w:uiPriority w:val="0"/>
    <w:pPr>
      <w:snapToGrid w:val="0"/>
      <w:spacing w:before="80" w:after="320"/>
      <w:ind w:left="1134"/>
      <w:jc w:val="center"/>
    </w:pPr>
    <w:rPr>
      <w:rFonts w:ascii="Arial" w:hAnsi="Arial" w:eastAsia="黑体" w:cs="Arial"/>
      <w:sz w:val="18"/>
      <w:szCs w:val="18"/>
      <w:lang w:val="en-US" w:eastAsia="zh-CN" w:bidi="ar-SA"/>
    </w:rPr>
  </w:style>
  <w:style w:type="paragraph" w:customStyle="1" w:styleId="417">
    <w:name w:val="Date1"/>
    <w:basedOn w:val="1"/>
    <w:next w:val="1"/>
    <w:autoRedefine/>
    <w:qFormat/>
    <w:uiPriority w:val="0"/>
    <w:pPr>
      <w:autoSpaceDE w:val="0"/>
      <w:autoSpaceDN w:val="0"/>
      <w:adjustRightInd w:val="0"/>
      <w:spacing w:line="360" w:lineRule="atLeast"/>
      <w:ind w:firstLine="459"/>
      <w:textAlignment w:val="baseline"/>
    </w:pPr>
    <w:rPr>
      <w:rFonts w:ascii="宋体"/>
      <w:spacing w:val="10"/>
      <w:kern w:val="0"/>
      <w:sz w:val="20"/>
      <w:szCs w:val="20"/>
    </w:rPr>
  </w:style>
  <w:style w:type="paragraph" w:customStyle="1" w:styleId="418">
    <w:name w:val="牛样式1"/>
    <w:basedOn w:val="1"/>
    <w:autoRedefine/>
    <w:qFormat/>
    <w:uiPriority w:val="0"/>
    <w:pPr>
      <w:adjustRightInd w:val="0"/>
      <w:spacing w:line="315" w:lineRule="atLeast"/>
      <w:jc w:val="left"/>
      <w:textAlignment w:val="baseline"/>
    </w:pPr>
    <w:rPr>
      <w:rFonts w:ascii="Arial" w:eastAsia="黑体"/>
      <w:kern w:val="0"/>
      <w:szCs w:val="20"/>
    </w:rPr>
  </w:style>
  <w:style w:type="paragraph" w:customStyle="1" w:styleId="419">
    <w:name w:val="CM27"/>
    <w:basedOn w:val="248"/>
    <w:next w:val="248"/>
    <w:autoRedefine/>
    <w:qFormat/>
    <w:uiPriority w:val="0"/>
    <w:rPr>
      <w:color w:val="auto"/>
    </w:rPr>
  </w:style>
  <w:style w:type="paragraph" w:customStyle="1" w:styleId="420">
    <w:name w:val="Style Style Body Text Indent 2 + Left:  1.27 ch + Left:  1.27 ch"/>
    <w:basedOn w:val="1"/>
    <w:autoRedefine/>
    <w:qFormat/>
    <w:uiPriority w:val="0"/>
    <w:pPr>
      <w:widowControl/>
      <w:ind w:left="150" w:leftChars="150"/>
    </w:pPr>
    <w:rPr>
      <w:rFonts w:ascii="Arial" w:hAnsi="Arial" w:eastAsia="Arial" w:cs="宋体"/>
      <w:kern w:val="0"/>
      <w:sz w:val="22"/>
      <w:szCs w:val="20"/>
    </w:rPr>
  </w:style>
  <w:style w:type="paragraph" w:customStyle="1" w:styleId="421">
    <w:name w:val="Body Text Keep"/>
    <w:basedOn w:val="29"/>
    <w:autoRedefine/>
    <w:qFormat/>
    <w:uiPriority w:val="0"/>
    <w:pPr>
      <w:keepNext/>
      <w:widowControl/>
      <w:spacing w:before="120"/>
      <w:ind w:left="1800" w:right="274"/>
    </w:pPr>
    <w:rPr>
      <w:rFonts w:ascii="Univers" w:hAnsi="Univers" w:eastAsia="MS Mincho"/>
      <w:kern w:val="0"/>
      <w:sz w:val="22"/>
      <w:szCs w:val="20"/>
      <w:lang w:val="en-GB" w:eastAsia="ja-JP"/>
    </w:rPr>
  </w:style>
  <w:style w:type="paragraph" w:customStyle="1" w:styleId="422">
    <w:name w:val="List Bullet First"/>
    <w:basedOn w:val="21"/>
    <w:next w:val="21"/>
    <w:autoRedefine/>
    <w:qFormat/>
    <w:uiPriority w:val="0"/>
    <w:pPr>
      <w:widowControl/>
      <w:numPr>
        <w:ilvl w:val="0"/>
        <w:numId w:val="0"/>
      </w:numPr>
      <w:spacing w:before="80" w:after="160" w:line="240" w:lineRule="auto"/>
      <w:ind w:left="720" w:right="274" w:hanging="360"/>
    </w:pPr>
    <w:rPr>
      <w:rFonts w:ascii="Univers" w:hAnsi="Univers" w:eastAsia="MS Mincho"/>
      <w:spacing w:val="0"/>
      <w:kern w:val="0"/>
      <w:sz w:val="22"/>
      <w:lang w:val="en-GB" w:eastAsia="ja-JP"/>
    </w:rPr>
  </w:style>
  <w:style w:type="paragraph" w:customStyle="1" w:styleId="423">
    <w:name w:val="paragraph"/>
    <w:basedOn w:val="1"/>
    <w:autoRedefine/>
    <w:qFormat/>
    <w:uiPriority w:val="0"/>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67" w:line="335" w:lineRule="atLeast"/>
    </w:pPr>
    <w:rPr>
      <w:rFonts w:ascii="Palatino" w:hAnsi="Palatino"/>
      <w:kern w:val="0"/>
      <w:sz w:val="22"/>
      <w:szCs w:val="20"/>
    </w:rPr>
  </w:style>
  <w:style w:type="paragraph" w:customStyle="1" w:styleId="424">
    <w:name w:val="小标题"/>
    <w:basedOn w:val="1"/>
    <w:next w:val="10"/>
    <w:autoRedefine/>
    <w:qFormat/>
    <w:uiPriority w:val="0"/>
    <w:pPr>
      <w:keepNext/>
      <w:numPr>
        <w:ilvl w:val="0"/>
        <w:numId w:val="11"/>
      </w:numPr>
      <w:tabs>
        <w:tab w:val="left" w:pos="425"/>
      </w:tabs>
      <w:spacing w:beforeLines="100" w:afterLines="50"/>
    </w:pPr>
    <w:rPr>
      <w:b/>
      <w:bCs/>
    </w:rPr>
  </w:style>
  <w:style w:type="paragraph" w:customStyle="1" w:styleId="425">
    <w:name w:val="CM33"/>
    <w:basedOn w:val="248"/>
    <w:next w:val="248"/>
    <w:autoRedefine/>
    <w:qFormat/>
    <w:uiPriority w:val="0"/>
    <w:pPr>
      <w:spacing w:line="391" w:lineRule="atLeast"/>
    </w:pPr>
    <w:rPr>
      <w:color w:val="auto"/>
    </w:rPr>
  </w:style>
  <w:style w:type="paragraph" w:customStyle="1" w:styleId="426">
    <w:name w:val="Part Title"/>
    <w:basedOn w:val="326"/>
    <w:next w:val="427"/>
    <w:autoRedefine/>
    <w:qFormat/>
    <w:uiPriority w:val="0"/>
    <w:pPr>
      <w:spacing w:before="600"/>
      <w:jc w:val="center"/>
    </w:pPr>
  </w:style>
  <w:style w:type="paragraph" w:customStyle="1" w:styleId="427">
    <w:name w:val="Part Subtitle"/>
    <w:basedOn w:val="1"/>
    <w:next w:val="29"/>
    <w:autoRedefine/>
    <w:qFormat/>
    <w:uiPriority w:val="0"/>
    <w:pPr>
      <w:keepNext/>
      <w:widowControl/>
      <w:spacing w:before="360" w:after="120"/>
      <w:jc w:val="center"/>
    </w:pPr>
    <w:rPr>
      <w:rFonts w:ascii="Arial" w:hAnsi="Arial" w:eastAsia="MS Mincho"/>
      <w:i/>
      <w:kern w:val="28"/>
      <w:sz w:val="32"/>
      <w:szCs w:val="20"/>
      <w:lang w:val="en-GB" w:eastAsia="ja-JP"/>
    </w:rPr>
  </w:style>
  <w:style w:type="paragraph" w:customStyle="1" w:styleId="428">
    <w:name w:val="表头文本"/>
    <w:autoRedefine/>
    <w:qFormat/>
    <w:uiPriority w:val="0"/>
    <w:pPr>
      <w:jc w:val="center"/>
    </w:pPr>
    <w:rPr>
      <w:rFonts w:ascii="Arial" w:hAnsi="Arial" w:eastAsia="宋体" w:cs="Times New Roman"/>
      <w:b/>
      <w:sz w:val="21"/>
      <w:szCs w:val="21"/>
      <w:lang w:val="en-US" w:eastAsia="zh-CN" w:bidi="ar-SA"/>
    </w:rPr>
  </w:style>
  <w:style w:type="paragraph" w:customStyle="1" w:styleId="429">
    <w:name w:val="Part Label"/>
    <w:basedOn w:val="326"/>
    <w:next w:val="1"/>
    <w:autoRedefine/>
    <w:qFormat/>
    <w:uiPriority w:val="0"/>
    <w:pPr>
      <w:spacing w:before="600" w:after="160"/>
      <w:jc w:val="center"/>
    </w:pPr>
    <w:rPr>
      <w:b w:val="0"/>
      <w:sz w:val="24"/>
      <w:u w:val="single"/>
    </w:rPr>
  </w:style>
  <w:style w:type="paragraph" w:customStyle="1" w:styleId="430">
    <w:name w:val="Style5"/>
    <w:basedOn w:val="2"/>
    <w:autoRedefine/>
    <w:qFormat/>
    <w:uiPriority w:val="0"/>
    <w:pPr>
      <w:widowControl/>
      <w:tabs>
        <w:tab w:val="left" w:pos="425"/>
      </w:tabs>
      <w:spacing w:before="240" w:after="240"/>
      <w:ind w:left="856"/>
      <w:jc w:val="left"/>
    </w:pPr>
    <w:rPr>
      <w:rFonts w:ascii="Arial" w:hAnsi="Arial" w:cs="Arial"/>
      <w:b/>
      <w:bCs/>
      <w:caps/>
      <w:kern w:val="0"/>
      <w:sz w:val="24"/>
      <w:szCs w:val="24"/>
      <w:lang w:val="en-GB"/>
    </w:rPr>
  </w:style>
  <w:style w:type="paragraph" w:customStyle="1" w:styleId="431">
    <w:name w:val="Indent 3"/>
    <w:basedOn w:val="1"/>
    <w:autoRedefine/>
    <w:qFormat/>
    <w:uiPriority w:val="0"/>
    <w:pPr>
      <w:widowControl/>
      <w:ind w:left="1701" w:hanging="567"/>
    </w:pPr>
    <w:rPr>
      <w:kern w:val="0"/>
      <w:sz w:val="20"/>
      <w:szCs w:val="20"/>
      <w:lang w:val="en-GB" w:eastAsia="en-US"/>
    </w:rPr>
  </w:style>
  <w:style w:type="paragraph" w:customStyle="1" w:styleId="432">
    <w:name w:val="答复表样式"/>
    <w:basedOn w:val="1"/>
    <w:autoRedefine/>
    <w:qFormat/>
    <w:uiPriority w:val="0"/>
    <w:pPr>
      <w:spacing w:line="240" w:lineRule="atLeast"/>
      <w:jc w:val="center"/>
    </w:pPr>
    <w:rPr>
      <w:b/>
      <w:color w:val="000000"/>
      <w:szCs w:val="20"/>
    </w:rPr>
  </w:style>
  <w:style w:type="paragraph" w:customStyle="1" w:styleId="433">
    <w:name w:val="技标2"/>
    <w:basedOn w:val="4"/>
    <w:autoRedefine/>
    <w:qFormat/>
    <w:uiPriority w:val="0"/>
    <w:pPr>
      <w:keepNext w:val="0"/>
      <w:keepLines w:val="0"/>
      <w:adjustRightInd w:val="0"/>
      <w:snapToGrid w:val="0"/>
      <w:spacing w:before="600" w:after="240" w:line="420" w:lineRule="atLeast"/>
      <w:textAlignment w:val="baseline"/>
    </w:pPr>
    <w:rPr>
      <w:bCs w:val="0"/>
      <w:kern w:val="0"/>
      <w:sz w:val="28"/>
      <w:szCs w:val="20"/>
    </w:rPr>
  </w:style>
  <w:style w:type="paragraph" w:customStyle="1" w:styleId="434">
    <w:name w:val="IVBD 1)"/>
    <w:basedOn w:val="1"/>
    <w:autoRedefine/>
    <w:qFormat/>
    <w:uiPriority w:val="0"/>
    <w:pPr>
      <w:tabs>
        <w:tab w:val="left" w:pos="1020"/>
        <w:tab w:val="left" w:pos="2130"/>
      </w:tabs>
      <w:spacing w:line="360" w:lineRule="auto"/>
      <w:ind w:left="1020" w:hanging="1020"/>
    </w:pPr>
    <w:rPr>
      <w:rFonts w:ascii="新宋体" w:hAnsi="新宋体" w:eastAsia="新宋体"/>
      <w:color w:val="000000"/>
      <w:sz w:val="24"/>
    </w:rPr>
  </w:style>
  <w:style w:type="paragraph" w:customStyle="1" w:styleId="435">
    <w:name w:val="TxBr_p14"/>
    <w:basedOn w:val="1"/>
    <w:autoRedefine/>
    <w:qFormat/>
    <w:uiPriority w:val="0"/>
    <w:pPr>
      <w:tabs>
        <w:tab w:val="left" w:pos="1513"/>
      </w:tabs>
      <w:spacing w:line="413" w:lineRule="atLeast"/>
      <w:ind w:left="1513" w:hanging="742"/>
    </w:pPr>
    <w:rPr>
      <w:kern w:val="0"/>
      <w:sz w:val="24"/>
      <w:lang w:eastAsia="en-US"/>
    </w:rPr>
  </w:style>
  <w:style w:type="paragraph" w:customStyle="1" w:styleId="436">
    <w:name w:val="Title 3"/>
    <w:basedOn w:val="1"/>
    <w:autoRedefine/>
    <w:qFormat/>
    <w:uiPriority w:val="0"/>
    <w:pPr>
      <w:widowControl/>
      <w:jc w:val="center"/>
    </w:pPr>
    <w:rPr>
      <w:rFonts w:ascii="Arial" w:hAnsi="Arial"/>
      <w:b/>
      <w:kern w:val="0"/>
      <w:sz w:val="28"/>
      <w:szCs w:val="20"/>
      <w:lang w:val="en-GB" w:eastAsia="en-US"/>
    </w:rPr>
  </w:style>
  <w:style w:type="paragraph" w:customStyle="1" w:styleId="437">
    <w:name w:val="表格"/>
    <w:basedOn w:val="1"/>
    <w:autoRedefine/>
    <w:qFormat/>
    <w:uiPriority w:val="0"/>
    <w:pPr>
      <w:tabs>
        <w:tab w:val="left" w:pos="737"/>
      </w:tabs>
      <w:adjustRightInd w:val="0"/>
      <w:spacing w:before="60" w:after="60" w:line="240" w:lineRule="atLeast"/>
      <w:jc w:val="center"/>
      <w:textAlignment w:val="bottom"/>
    </w:pPr>
    <w:rPr>
      <w:kern w:val="0"/>
      <w:szCs w:val="21"/>
    </w:rPr>
  </w:style>
  <w:style w:type="paragraph" w:customStyle="1" w:styleId="438">
    <w:name w:val="Body Text 4"/>
    <w:basedOn w:val="30"/>
    <w:autoRedefine/>
    <w:qFormat/>
    <w:uiPriority w:val="0"/>
    <w:pPr>
      <w:widowControl/>
      <w:tabs>
        <w:tab w:val="left" w:pos="2160"/>
      </w:tabs>
      <w:spacing w:after="0"/>
      <w:ind w:left="2520" w:leftChars="0" w:right="274"/>
    </w:pPr>
    <w:rPr>
      <w:rFonts w:ascii="Arial" w:hAnsi="Arial" w:eastAsia="MS Mincho" w:cs="Arial"/>
      <w:kern w:val="0"/>
      <w:sz w:val="22"/>
      <w:szCs w:val="20"/>
      <w:lang w:eastAsia="ja-JP"/>
    </w:rPr>
  </w:style>
  <w:style w:type="paragraph" w:customStyle="1" w:styleId="439">
    <w:name w:val="Block Quotation Last"/>
    <w:basedOn w:val="278"/>
    <w:next w:val="29"/>
    <w:autoRedefine/>
    <w:qFormat/>
    <w:uiPriority w:val="0"/>
    <w:pPr>
      <w:spacing w:after="240"/>
    </w:pPr>
  </w:style>
  <w:style w:type="paragraph" w:customStyle="1" w:styleId="440">
    <w:name w:val="须知a"/>
    <w:basedOn w:val="1"/>
    <w:autoRedefine/>
    <w:qFormat/>
    <w:uiPriority w:val="0"/>
    <w:pPr>
      <w:widowControl/>
      <w:tabs>
        <w:tab w:val="left" w:pos="960"/>
        <w:tab w:val="left" w:pos="2730"/>
      </w:tabs>
      <w:spacing w:line="400" w:lineRule="exact"/>
      <w:ind w:left="2730" w:hanging="420"/>
      <w:jc w:val="left"/>
    </w:pPr>
    <w:rPr>
      <w:rFonts w:ascii="Arial" w:hAnsi="Arial"/>
      <w:bCs/>
      <w:kern w:val="0"/>
      <w:szCs w:val="20"/>
    </w:rPr>
  </w:style>
  <w:style w:type="paragraph" w:customStyle="1" w:styleId="441">
    <w:name w:val="公式"/>
    <w:basedOn w:val="10"/>
    <w:autoRedefine/>
    <w:qFormat/>
    <w:uiPriority w:val="0"/>
    <w:pPr>
      <w:tabs>
        <w:tab w:val="right" w:pos="8280"/>
      </w:tabs>
      <w:ind w:firstLine="840" w:firstLineChars="400"/>
    </w:pPr>
  </w:style>
  <w:style w:type="paragraph" w:customStyle="1" w:styleId="442">
    <w:name w:val="Bullets 2"/>
    <w:basedOn w:val="63"/>
    <w:autoRedefine/>
    <w:qFormat/>
    <w:uiPriority w:val="0"/>
    <w:pPr>
      <w:tabs>
        <w:tab w:val="left" w:pos="284"/>
      </w:tabs>
      <w:spacing w:before="120" w:after="120" w:line="360" w:lineRule="auto"/>
      <w:jc w:val="both"/>
    </w:pPr>
    <w:rPr>
      <w:rFonts w:ascii="Arial" w:hAnsi="Arial"/>
      <w:sz w:val="22"/>
      <w:szCs w:val="20"/>
      <w:lang w:eastAsia="en-US"/>
    </w:rPr>
  </w:style>
  <w:style w:type="paragraph" w:customStyle="1" w:styleId="443">
    <w:name w:val="PP 行"/>
    <w:basedOn w:val="49"/>
    <w:autoRedefine/>
    <w:qFormat/>
    <w:uiPriority w:val="0"/>
  </w:style>
  <w:style w:type="paragraph" w:customStyle="1" w:styleId="444">
    <w:name w:val="FSD"/>
    <w:basedOn w:val="1"/>
    <w:autoRedefine/>
    <w:qFormat/>
    <w:uiPriority w:val="0"/>
    <w:pPr>
      <w:widowControl/>
      <w:jc w:val="left"/>
    </w:pPr>
    <w:rPr>
      <w:rFonts w:eastAsia="MS Mincho"/>
      <w:kern w:val="0"/>
      <w:sz w:val="24"/>
      <w:szCs w:val="20"/>
      <w:lang w:eastAsia="en-US"/>
    </w:rPr>
  </w:style>
  <w:style w:type="paragraph" w:customStyle="1" w:styleId="445">
    <w:name w:val="1.1 Paragraph"/>
    <w:basedOn w:val="1"/>
    <w:autoRedefine/>
    <w:qFormat/>
    <w:uiPriority w:val="0"/>
    <w:pPr>
      <w:tabs>
        <w:tab w:val="left" w:pos="-720"/>
        <w:tab w:val="left" w:pos="0"/>
      </w:tabs>
      <w:suppressAutoHyphens/>
      <w:spacing w:before="120" w:after="120"/>
      <w:ind w:left="720"/>
    </w:pPr>
    <w:rPr>
      <w:spacing w:val="-3"/>
      <w:kern w:val="0"/>
      <w:sz w:val="22"/>
      <w:szCs w:val="20"/>
    </w:rPr>
  </w:style>
  <w:style w:type="paragraph" w:customStyle="1" w:styleId="446">
    <w:name w:val="Document Title"/>
    <w:basedOn w:val="1"/>
    <w:autoRedefine/>
    <w:qFormat/>
    <w:uiPriority w:val="0"/>
    <w:pPr>
      <w:widowControl/>
      <w:spacing w:before="720" w:after="960"/>
      <w:jc w:val="center"/>
    </w:pPr>
    <w:rPr>
      <w:rFonts w:ascii="Arial" w:hAnsi="Arial" w:eastAsia="Arial" w:cs="Arial"/>
      <w:b/>
      <w:kern w:val="0"/>
      <w:sz w:val="32"/>
      <w:szCs w:val="32"/>
      <w:lang w:val="en-GB" w:eastAsia="en-US"/>
    </w:rPr>
  </w:style>
  <w:style w:type="paragraph" w:customStyle="1" w:styleId="447">
    <w:name w:val="脚注标识"/>
    <w:basedOn w:val="1"/>
    <w:autoRedefine/>
    <w:qFormat/>
    <w:uiPriority w:val="0"/>
    <w:pPr>
      <w:spacing w:line="360" w:lineRule="auto"/>
      <w:ind w:firstLine="480" w:firstLineChars="200"/>
    </w:pPr>
    <w:rPr>
      <w:sz w:val="18"/>
      <w:szCs w:val="18"/>
    </w:rPr>
  </w:style>
  <w:style w:type="paragraph" w:customStyle="1" w:styleId="448">
    <w:name w:val="表名"/>
    <w:basedOn w:val="1"/>
    <w:autoRedefine/>
    <w:qFormat/>
    <w:uiPriority w:val="0"/>
    <w:pPr>
      <w:overflowPunct w:val="0"/>
      <w:spacing w:before="120"/>
      <w:jc w:val="center"/>
      <w:textAlignment w:val="baseline"/>
    </w:pPr>
    <w:rPr>
      <w:rFonts w:ascii="Arial" w:hAnsi="Arial" w:eastAsia="黑体"/>
      <w:szCs w:val="21"/>
    </w:rPr>
  </w:style>
  <w:style w:type="paragraph" w:customStyle="1" w:styleId="449">
    <w:name w:val="Table_Text"/>
    <w:basedOn w:val="1"/>
    <w:autoRedefine/>
    <w:qFormat/>
    <w:uiPriority w:val="0"/>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pPr>
    <w:rPr>
      <w:kern w:val="0"/>
      <w:sz w:val="22"/>
      <w:szCs w:val="20"/>
      <w:lang w:val="en-GB" w:eastAsia="en-US"/>
    </w:rPr>
  </w:style>
  <w:style w:type="paragraph" w:customStyle="1" w:styleId="450">
    <w:name w:val="正文2"/>
    <w:basedOn w:val="1"/>
    <w:autoRedefine/>
    <w:qFormat/>
    <w:uiPriority w:val="0"/>
    <w:pPr>
      <w:adjustRightInd w:val="0"/>
      <w:spacing w:line="420" w:lineRule="atLeast"/>
      <w:textAlignment w:val="baseline"/>
    </w:pPr>
    <w:rPr>
      <w:kern w:val="0"/>
      <w:szCs w:val="20"/>
    </w:rPr>
  </w:style>
  <w:style w:type="paragraph" w:customStyle="1" w:styleId="451">
    <w:name w:val="批注框文本[858D7CFB-ED40-4347-BF05-701D383B685F][858D7CFB-ED40-4347-BF05-701D383B685F]"/>
    <w:basedOn w:val="1"/>
    <w:autoRedefine/>
    <w:qFormat/>
    <w:uiPriority w:val="0"/>
    <w:rPr>
      <w:sz w:val="18"/>
      <w:szCs w:val="18"/>
    </w:rPr>
  </w:style>
  <w:style w:type="paragraph" w:customStyle="1" w:styleId="452">
    <w:name w:val="CM36"/>
    <w:basedOn w:val="248"/>
    <w:next w:val="248"/>
    <w:autoRedefine/>
    <w:qFormat/>
    <w:uiPriority w:val="0"/>
    <w:pPr>
      <w:spacing w:line="468" w:lineRule="atLeast"/>
    </w:pPr>
    <w:rPr>
      <w:color w:val="auto"/>
    </w:rPr>
  </w:style>
  <w:style w:type="paragraph" w:customStyle="1" w:styleId="453">
    <w:name w:val="样式 标题 3 + (中文) 黑体 小四 非加粗 段前: 7.8 磅 段后: 0 磅 行距: 固定值 20 磅"/>
    <w:basedOn w:val="4"/>
    <w:autoRedefine/>
    <w:qFormat/>
    <w:uiPriority w:val="0"/>
    <w:pPr>
      <w:tabs>
        <w:tab w:val="left" w:pos="1418"/>
      </w:tabs>
      <w:spacing w:before="0" w:after="0" w:line="400" w:lineRule="exact"/>
    </w:pPr>
    <w:rPr>
      <w:rFonts w:eastAsia="黑体" w:cs="宋体"/>
      <w:b w:val="0"/>
      <w:bCs w:val="0"/>
      <w:sz w:val="24"/>
      <w:szCs w:val="20"/>
    </w:rPr>
  </w:style>
  <w:style w:type="paragraph" w:customStyle="1" w:styleId="454">
    <w:name w:val="Normal Para"/>
    <w:basedOn w:val="1"/>
    <w:autoRedefine/>
    <w:qFormat/>
    <w:uiPriority w:val="0"/>
    <w:pPr>
      <w:autoSpaceDE w:val="0"/>
      <w:autoSpaceDN w:val="0"/>
      <w:adjustRightInd w:val="0"/>
      <w:spacing w:after="120"/>
      <w:jc w:val="left"/>
      <w:textAlignment w:val="baseline"/>
    </w:pPr>
    <w:rPr>
      <w:rFonts w:ascii="宋体" w:hAnsi="Tms Rmn"/>
      <w:kern w:val="0"/>
      <w:sz w:val="20"/>
      <w:szCs w:val="20"/>
    </w:rPr>
  </w:style>
  <w:style w:type="paragraph" w:customStyle="1" w:styleId="455">
    <w:name w:val="CM37"/>
    <w:basedOn w:val="248"/>
    <w:next w:val="248"/>
    <w:autoRedefine/>
    <w:qFormat/>
    <w:uiPriority w:val="0"/>
    <w:pPr>
      <w:spacing w:after="260"/>
    </w:pPr>
    <w:rPr>
      <w:color w:val="auto"/>
    </w:rPr>
  </w:style>
  <w:style w:type="paragraph" w:customStyle="1" w:styleId="456">
    <w:name w:val="提示文字"/>
    <w:basedOn w:val="1"/>
    <w:autoRedefine/>
    <w:qFormat/>
    <w:uiPriority w:val="0"/>
    <w:pPr>
      <w:spacing w:line="500" w:lineRule="exact"/>
      <w:ind w:firstLine="200" w:firstLineChars="200"/>
    </w:pPr>
    <w:rPr>
      <w:rFonts w:ascii="黑体" w:eastAsia="黑体"/>
      <w:b/>
      <w:bCs/>
      <w:sz w:val="24"/>
    </w:rPr>
  </w:style>
  <w:style w:type="paragraph" w:customStyle="1" w:styleId="457">
    <w:name w:val="Char Char Char Char Char Char Char11"/>
    <w:basedOn w:val="1"/>
    <w:autoRedefine/>
    <w:qFormat/>
    <w:uiPriority w:val="0"/>
    <w:pPr>
      <w:widowControl/>
      <w:adjustRightInd w:val="0"/>
      <w:snapToGrid w:val="0"/>
      <w:spacing w:line="360" w:lineRule="auto"/>
      <w:ind w:firstLine="200" w:firstLineChars="200"/>
      <w:jc w:val="left"/>
    </w:pPr>
    <w:rPr>
      <w:rFonts w:ascii="Tahoma" w:hAnsi="Tahoma" w:cs="Tahoma"/>
      <w:kern w:val="0"/>
      <w:sz w:val="20"/>
      <w:szCs w:val="20"/>
      <w:lang w:eastAsia="en-US"/>
    </w:rPr>
  </w:style>
  <w:style w:type="paragraph" w:customStyle="1" w:styleId="458">
    <w:name w:val="图样式"/>
    <w:basedOn w:val="1"/>
    <w:autoRedefine/>
    <w:qFormat/>
    <w:uiPriority w:val="0"/>
    <w:pPr>
      <w:keepNext/>
      <w:widowControl/>
      <w:adjustRightInd w:val="0"/>
      <w:spacing w:before="80" w:after="80" w:line="312" w:lineRule="atLeast"/>
      <w:ind w:firstLine="420"/>
      <w:jc w:val="center"/>
      <w:textAlignment w:val="baseline"/>
    </w:pPr>
    <w:rPr>
      <w:rFonts w:ascii="宋体" w:hAnsi="宋体"/>
      <w:kern w:val="0"/>
      <w:sz w:val="24"/>
      <w:szCs w:val="20"/>
    </w:rPr>
  </w:style>
  <w:style w:type="paragraph" w:customStyle="1" w:styleId="459">
    <w:name w:val="Style2"/>
    <w:basedOn w:val="1"/>
    <w:autoRedefine/>
    <w:qFormat/>
    <w:uiPriority w:val="0"/>
    <w:pPr>
      <w:widowControl/>
      <w:jc w:val="center"/>
    </w:pPr>
    <w:rPr>
      <w:rFonts w:ascii="Arial" w:hAnsi="Arial" w:cs="Arial"/>
      <w:b/>
      <w:bCs/>
      <w:caps/>
      <w:kern w:val="0"/>
      <w:sz w:val="28"/>
      <w:szCs w:val="28"/>
    </w:rPr>
  </w:style>
  <w:style w:type="paragraph" w:customStyle="1" w:styleId="460">
    <w:name w:val="6'"/>
    <w:basedOn w:val="1"/>
    <w:autoRedefine/>
    <w:qFormat/>
    <w:uiPriority w:val="0"/>
    <w:pPr>
      <w:numPr>
        <w:ilvl w:val="0"/>
        <w:numId w:val="12"/>
      </w:numPr>
      <w:autoSpaceDE w:val="0"/>
      <w:autoSpaceDN w:val="0"/>
      <w:adjustRightInd w:val="0"/>
      <w:snapToGrid w:val="0"/>
      <w:spacing w:line="320" w:lineRule="exact"/>
      <w:ind w:left="0" w:firstLine="0"/>
      <w:jc w:val="center"/>
      <w:textAlignment w:val="baseline"/>
    </w:pPr>
    <w:rPr>
      <w:spacing w:val="20"/>
      <w:kern w:val="28"/>
      <w:szCs w:val="20"/>
    </w:rPr>
  </w:style>
  <w:style w:type="paragraph" w:customStyle="1" w:styleId="461">
    <w:name w:val="Signature Box"/>
    <w:basedOn w:val="1"/>
    <w:autoRedefine/>
    <w:qFormat/>
    <w:uiPriority w:val="0"/>
    <w:pPr>
      <w:widowControl/>
      <w:tabs>
        <w:tab w:val="left" w:pos="1440"/>
      </w:tabs>
      <w:spacing w:before="120" w:after="120"/>
    </w:pPr>
    <w:rPr>
      <w:rFonts w:ascii="Arial" w:hAnsi="Arial"/>
      <w:kern w:val="0"/>
      <w:sz w:val="22"/>
      <w:szCs w:val="20"/>
      <w:lang w:val="en-GB" w:eastAsia="en-US"/>
    </w:rPr>
  </w:style>
  <w:style w:type="paragraph" w:customStyle="1" w:styleId="462">
    <w:name w:val="容量"/>
    <w:basedOn w:val="1"/>
    <w:autoRedefine/>
    <w:qFormat/>
    <w:uiPriority w:val="0"/>
    <w:pPr>
      <w:adjustRightInd w:val="0"/>
      <w:spacing w:line="312" w:lineRule="atLeast"/>
      <w:textAlignment w:val="baseline"/>
    </w:pPr>
    <w:rPr>
      <w:kern w:val="0"/>
      <w:sz w:val="24"/>
      <w:szCs w:val="20"/>
    </w:rPr>
  </w:style>
  <w:style w:type="paragraph" w:customStyle="1" w:styleId="463">
    <w:name w:val="招标文件1.1"/>
    <w:autoRedefine/>
    <w:qFormat/>
    <w:uiPriority w:val="0"/>
    <w:pPr>
      <w:tabs>
        <w:tab w:val="left" w:pos="630"/>
      </w:tabs>
      <w:spacing w:before="120" w:after="120" w:line="480" w:lineRule="exact"/>
      <w:ind w:left="200"/>
      <w:outlineLvl w:val="2"/>
    </w:pPr>
    <w:rPr>
      <w:rFonts w:ascii="宋体" w:hAnsi="Times New Roman" w:eastAsia="宋体" w:cs="Times New Roman"/>
      <w:b/>
      <w:spacing w:val="10"/>
      <w:w w:val="95"/>
      <w:sz w:val="24"/>
      <w:lang w:val="en-US" w:eastAsia="zh-CN" w:bidi="ar-SA"/>
    </w:rPr>
  </w:style>
  <w:style w:type="paragraph" w:customStyle="1" w:styleId="464">
    <w:name w:val="arial122"/>
    <w:basedOn w:val="1"/>
    <w:autoRedefine/>
    <w:qFormat/>
    <w:uiPriority w:val="0"/>
    <w:pPr>
      <w:widowControl/>
      <w:spacing w:line="300" w:lineRule="atLeast"/>
      <w:jc w:val="left"/>
    </w:pPr>
    <w:rPr>
      <w:rFonts w:ascii="宋体" w:hAnsi="宋体" w:cs="宋体"/>
      <w:kern w:val="0"/>
      <w:sz w:val="18"/>
      <w:szCs w:val="18"/>
    </w:rPr>
  </w:style>
  <w:style w:type="paragraph" w:customStyle="1" w:styleId="465">
    <w:name w:val="文档标题"/>
    <w:basedOn w:val="1"/>
    <w:autoRedefine/>
    <w:qFormat/>
    <w:uiPriority w:val="0"/>
    <w:pPr>
      <w:tabs>
        <w:tab w:val="left" w:pos="0"/>
      </w:tabs>
      <w:adjustRightInd w:val="0"/>
      <w:spacing w:before="300" w:after="300" w:line="312" w:lineRule="atLeast"/>
      <w:ind w:firstLine="420"/>
      <w:jc w:val="center"/>
      <w:textAlignment w:val="baseline"/>
    </w:pPr>
    <w:rPr>
      <w:rFonts w:ascii="Arial" w:hAnsi="Arial" w:eastAsia="黑体"/>
      <w:kern w:val="0"/>
      <w:sz w:val="36"/>
      <w:szCs w:val="36"/>
    </w:rPr>
  </w:style>
  <w:style w:type="paragraph" w:customStyle="1" w:styleId="466">
    <w:name w:val="Sub title 1"/>
    <w:basedOn w:val="339"/>
    <w:autoRedefine/>
    <w:qFormat/>
    <w:uiPriority w:val="0"/>
    <w:pPr>
      <w:tabs>
        <w:tab w:val="left" w:pos="1304"/>
      </w:tabs>
      <w:ind w:left="1304" w:hanging="170"/>
    </w:pPr>
    <w:rPr>
      <w:rFonts w:ascii="Arial" w:hAnsi="Arial"/>
      <w:color w:val="auto"/>
      <w:sz w:val="21"/>
    </w:rPr>
  </w:style>
  <w:style w:type="paragraph" w:customStyle="1" w:styleId="467">
    <w:name w:val="样式 标题 5 +"/>
    <w:basedOn w:val="6"/>
    <w:autoRedefine/>
    <w:qFormat/>
    <w:uiPriority w:val="0"/>
    <w:pPr>
      <w:tabs>
        <w:tab w:val="left" w:pos="547"/>
        <w:tab w:val="left" w:pos="851"/>
        <w:tab w:val="left" w:pos="1080"/>
      </w:tabs>
      <w:adjustRightInd w:val="0"/>
      <w:spacing w:before="0" w:after="0" w:line="480" w:lineRule="atLeast"/>
      <w:ind w:left="851" w:hanging="851"/>
      <w:textAlignment w:val="baseline"/>
    </w:pPr>
    <w:rPr>
      <w:b w:val="0"/>
      <w:bCs w:val="0"/>
    </w:rPr>
  </w:style>
  <w:style w:type="paragraph" w:customStyle="1" w:styleId="468">
    <w:name w:val="Figure_Legend"/>
    <w:basedOn w:val="1"/>
    <w:autoRedefine/>
    <w:qFormat/>
    <w:uiPriority w:val="0"/>
    <w:pPr>
      <w:keepNext/>
      <w:keepLines/>
      <w:spacing w:before="20" w:after="20"/>
      <w:jc w:val="left"/>
    </w:pPr>
    <w:rPr>
      <w:rFonts w:eastAsia="MS Mincho"/>
      <w:snapToGrid w:val="0"/>
      <w:kern w:val="0"/>
      <w:sz w:val="18"/>
      <w:szCs w:val="20"/>
      <w:lang w:val="en-GB"/>
    </w:rPr>
  </w:style>
  <w:style w:type="paragraph" w:customStyle="1" w:styleId="469">
    <w:name w:val="Header Base"/>
    <w:basedOn w:val="1"/>
    <w:autoRedefine/>
    <w:qFormat/>
    <w:uiPriority w:val="0"/>
    <w:pPr>
      <w:keepLines/>
      <w:widowControl/>
      <w:tabs>
        <w:tab w:val="center" w:pos="4320"/>
        <w:tab w:val="right" w:pos="8640"/>
      </w:tabs>
      <w:jc w:val="left"/>
    </w:pPr>
    <w:rPr>
      <w:rFonts w:ascii="Arial" w:hAnsi="Arial" w:eastAsia="MS Mincho"/>
      <w:kern w:val="0"/>
      <w:sz w:val="24"/>
      <w:szCs w:val="20"/>
      <w:lang w:val="en-GB" w:eastAsia="ja-JP"/>
    </w:rPr>
  </w:style>
  <w:style w:type="paragraph" w:customStyle="1" w:styleId="470">
    <w:name w:val="标题－－（2）"/>
    <w:basedOn w:val="1"/>
    <w:autoRedefine/>
    <w:qFormat/>
    <w:uiPriority w:val="0"/>
    <w:pPr>
      <w:tabs>
        <w:tab w:val="left" w:pos="567"/>
      </w:tabs>
      <w:adjustRightInd w:val="0"/>
      <w:spacing w:line="360" w:lineRule="auto"/>
      <w:jc w:val="left"/>
      <w:textAlignment w:val="baseline"/>
    </w:pPr>
    <w:rPr>
      <w:rFonts w:ascii="Arial" w:hAnsi="Arial" w:eastAsia="楷体_GB2312"/>
      <w:kern w:val="0"/>
      <w:sz w:val="24"/>
      <w:szCs w:val="20"/>
    </w:rPr>
  </w:style>
  <w:style w:type="paragraph" w:customStyle="1" w:styleId="471">
    <w:name w:val="招标文件1）"/>
    <w:autoRedefine/>
    <w:qFormat/>
    <w:uiPriority w:val="0"/>
    <w:pPr>
      <w:spacing w:before="120" w:after="120" w:line="300" w:lineRule="auto"/>
      <w:outlineLvl w:val="5"/>
    </w:pPr>
    <w:rPr>
      <w:rFonts w:ascii="宋体" w:hAnsi="Times New Roman" w:eastAsia="宋体" w:cs="Times New Roman"/>
      <w:spacing w:val="10"/>
      <w:w w:val="95"/>
      <w:sz w:val="21"/>
      <w:lang w:val="en-US" w:eastAsia="zh-CN" w:bidi="ar-SA"/>
    </w:rPr>
  </w:style>
  <w:style w:type="paragraph" w:customStyle="1" w:styleId="472">
    <w:name w:val="样式3"/>
    <w:basedOn w:val="1"/>
    <w:autoRedefine/>
    <w:qFormat/>
    <w:uiPriority w:val="0"/>
    <w:pPr>
      <w:tabs>
        <w:tab w:val="left" w:pos="1438"/>
      </w:tabs>
      <w:spacing w:afterLines="50" w:line="360" w:lineRule="auto"/>
      <w:ind w:left="1438" w:hanging="915"/>
    </w:pPr>
    <w:rPr>
      <w:sz w:val="24"/>
    </w:rPr>
  </w:style>
  <w:style w:type="paragraph" w:customStyle="1" w:styleId="473">
    <w:name w:val="Technical 4"/>
    <w:autoRedefine/>
    <w:qFormat/>
    <w:uiPriority w:val="0"/>
    <w:pPr>
      <w:tabs>
        <w:tab w:val="left" w:pos="-720"/>
      </w:tabs>
      <w:suppressAutoHyphens/>
    </w:pPr>
    <w:rPr>
      <w:rFonts w:ascii="Times New Roman" w:hAnsi="Times New Roman" w:eastAsia="宋体" w:cs="Times New Roman"/>
      <w:b/>
      <w:sz w:val="24"/>
      <w:lang w:val="en-US" w:eastAsia="zh-CN" w:bidi="ar-SA"/>
    </w:rPr>
  </w:style>
  <w:style w:type="paragraph" w:customStyle="1" w:styleId="474">
    <w:name w:val="Char1 Char Char Char"/>
    <w:basedOn w:val="1"/>
    <w:autoRedefine/>
    <w:qFormat/>
    <w:uiPriority w:val="0"/>
    <w:rPr>
      <w:rFonts w:ascii="Tahoma" w:hAnsi="Tahoma"/>
      <w:sz w:val="30"/>
      <w:szCs w:val="30"/>
    </w:rPr>
  </w:style>
  <w:style w:type="paragraph" w:customStyle="1" w:styleId="475">
    <w:name w:val="IVBD正文"/>
    <w:basedOn w:val="1"/>
    <w:autoRedefine/>
    <w:qFormat/>
    <w:uiPriority w:val="0"/>
    <w:pPr>
      <w:tabs>
        <w:tab w:val="left" w:pos="1020"/>
      </w:tabs>
      <w:adjustRightInd w:val="0"/>
      <w:snapToGrid w:val="0"/>
      <w:spacing w:line="360" w:lineRule="auto"/>
      <w:ind w:firstLine="480" w:firstLineChars="200"/>
    </w:pPr>
    <w:rPr>
      <w:rFonts w:ascii="宋体" w:hAnsi="宋体"/>
      <w:sz w:val="24"/>
    </w:rPr>
  </w:style>
  <w:style w:type="paragraph" w:customStyle="1" w:styleId="476">
    <w:name w:val="CM42"/>
    <w:basedOn w:val="248"/>
    <w:next w:val="248"/>
    <w:autoRedefine/>
    <w:qFormat/>
    <w:uiPriority w:val="0"/>
    <w:pPr>
      <w:spacing w:after="390"/>
    </w:pPr>
    <w:rPr>
      <w:color w:val="auto"/>
    </w:rPr>
  </w:style>
  <w:style w:type="paragraph" w:customStyle="1" w:styleId="477">
    <w:name w:val="目录文字"/>
    <w:basedOn w:val="1"/>
    <w:autoRedefine/>
    <w:qFormat/>
    <w:uiPriority w:val="0"/>
    <w:pPr>
      <w:widowControl/>
      <w:adjustRightInd w:val="0"/>
      <w:spacing w:line="300" w:lineRule="auto"/>
      <w:ind w:firstLine="200" w:firstLineChars="200"/>
      <w:jc w:val="center"/>
      <w:textAlignment w:val="baseline"/>
    </w:pPr>
    <w:rPr>
      <w:rFonts w:ascii="宋体" w:hAnsi="宋体"/>
      <w:b/>
      <w:kern w:val="0"/>
      <w:sz w:val="44"/>
      <w:szCs w:val="20"/>
    </w:rPr>
  </w:style>
  <w:style w:type="paragraph" w:customStyle="1" w:styleId="478">
    <w:name w:val="须知2"/>
    <w:basedOn w:val="479"/>
    <w:autoRedefine/>
    <w:qFormat/>
    <w:uiPriority w:val="0"/>
    <w:pPr>
      <w:tabs>
        <w:tab w:val="left" w:pos="763"/>
        <w:tab w:val="left" w:pos="960"/>
      </w:tabs>
      <w:spacing w:before="0" w:after="0"/>
      <w:outlineLvl w:val="9"/>
    </w:pPr>
    <w:rPr>
      <w:rFonts w:eastAsia="宋体"/>
      <w:b w:val="0"/>
    </w:rPr>
  </w:style>
  <w:style w:type="paragraph" w:customStyle="1" w:styleId="479">
    <w:name w:val="须知1"/>
    <w:next w:val="1"/>
    <w:autoRedefine/>
    <w:qFormat/>
    <w:uiPriority w:val="0"/>
    <w:pPr>
      <w:tabs>
        <w:tab w:val="left" w:pos="763"/>
      </w:tabs>
      <w:spacing w:before="100" w:after="100" w:line="400" w:lineRule="exact"/>
      <w:ind w:firstLine="403"/>
      <w:outlineLvl w:val="0"/>
    </w:pPr>
    <w:rPr>
      <w:rFonts w:ascii="Arial" w:hAnsi="Arial" w:eastAsia="黑体" w:cs="Times New Roman"/>
      <w:b/>
      <w:bCs/>
      <w:sz w:val="21"/>
      <w:lang w:val="en-US" w:eastAsia="zh-CN" w:bidi="ar-SA"/>
    </w:rPr>
  </w:style>
  <w:style w:type="paragraph" w:customStyle="1" w:styleId="480">
    <w:name w:val="样式 列表"/>
    <w:basedOn w:val="13"/>
    <w:autoRedefine/>
    <w:qFormat/>
    <w:uiPriority w:val="0"/>
    <w:pPr>
      <w:spacing w:line="288" w:lineRule="auto"/>
      <w:ind w:left="0" w:firstLine="0" w:firstLineChars="0"/>
    </w:pPr>
  </w:style>
  <w:style w:type="paragraph" w:customStyle="1" w:styleId="481">
    <w:name w:val="EW"/>
    <w:basedOn w:val="482"/>
    <w:autoRedefine/>
    <w:qFormat/>
    <w:uiPriority w:val="0"/>
  </w:style>
  <w:style w:type="paragraph" w:customStyle="1" w:styleId="482">
    <w:name w:val="EX"/>
    <w:basedOn w:val="1"/>
    <w:autoRedefine/>
    <w:qFormat/>
    <w:uiPriority w:val="0"/>
    <w:pPr>
      <w:keepLines/>
      <w:spacing w:after="240"/>
      <w:ind w:left="2268" w:hanging="2268"/>
    </w:pPr>
    <w:rPr>
      <w:rFonts w:ascii="Arial" w:hAnsi="Arial" w:eastAsia="MS Mincho"/>
      <w:snapToGrid w:val="0"/>
      <w:kern w:val="0"/>
      <w:sz w:val="20"/>
      <w:szCs w:val="20"/>
      <w:lang w:val="en-GB" w:eastAsia="en-US"/>
    </w:rPr>
  </w:style>
  <w:style w:type="paragraph" w:customStyle="1" w:styleId="483">
    <w:name w:val="样式 C + 黑色"/>
    <w:basedOn w:val="191"/>
    <w:autoRedefine/>
    <w:qFormat/>
    <w:uiPriority w:val="0"/>
    <w:pPr>
      <w:tabs>
        <w:tab w:val="left" w:pos="805"/>
        <w:tab w:val="clear" w:pos="2551"/>
      </w:tabs>
      <w:spacing w:line="360" w:lineRule="auto"/>
      <w:jc w:val="left"/>
      <w:outlineLvl w:val="2"/>
    </w:pPr>
    <w:rPr>
      <w:rFonts w:ascii="Times New Roman" w:hAnsi="Times New Roman"/>
      <w:color w:val="000000"/>
      <w:kern w:val="44"/>
      <w:sz w:val="24"/>
    </w:rPr>
  </w:style>
  <w:style w:type="paragraph" w:customStyle="1" w:styleId="484">
    <w:name w:val="Char Char71"/>
    <w:basedOn w:val="5"/>
    <w:autoRedefine/>
    <w:qFormat/>
    <w:uiPriority w:val="0"/>
    <w:pPr>
      <w:widowControl/>
      <w:spacing w:before="140" w:line="220" w:lineRule="atLeast"/>
      <w:ind w:left="720"/>
      <w:jc w:val="left"/>
    </w:pPr>
    <w:rPr>
      <w:rFonts w:ascii="Arial" w:hAnsi="Arial" w:eastAsia="黑体"/>
    </w:rPr>
  </w:style>
  <w:style w:type="paragraph" w:customStyle="1" w:styleId="485">
    <w:name w:val="TF"/>
    <w:basedOn w:val="1"/>
    <w:autoRedefine/>
    <w:qFormat/>
    <w:uiPriority w:val="0"/>
    <w:pPr>
      <w:keepLines/>
      <w:spacing w:after="240"/>
      <w:jc w:val="center"/>
    </w:pPr>
    <w:rPr>
      <w:rFonts w:ascii="Arial" w:hAnsi="Arial" w:eastAsia="MS Mincho"/>
      <w:b/>
      <w:snapToGrid w:val="0"/>
      <w:kern w:val="0"/>
      <w:sz w:val="20"/>
      <w:szCs w:val="20"/>
      <w:lang w:val="en-GB" w:eastAsia="en-US"/>
    </w:rPr>
  </w:style>
  <w:style w:type="paragraph" w:customStyle="1" w:styleId="486">
    <w:name w:val="B2"/>
    <w:basedOn w:val="487"/>
    <w:autoRedefine/>
    <w:qFormat/>
    <w:uiPriority w:val="0"/>
    <w:pPr>
      <w:ind w:left="1134"/>
    </w:pPr>
  </w:style>
  <w:style w:type="paragraph" w:customStyle="1" w:styleId="487">
    <w:name w:val="B1"/>
    <w:basedOn w:val="1"/>
    <w:autoRedefine/>
    <w:qFormat/>
    <w:uiPriority w:val="0"/>
    <w:pPr>
      <w:spacing w:after="240"/>
      <w:ind w:left="567" w:hanging="567"/>
    </w:pPr>
    <w:rPr>
      <w:rFonts w:ascii="Arial" w:hAnsi="Arial" w:eastAsia="MS Mincho"/>
      <w:snapToGrid w:val="0"/>
      <w:kern w:val="0"/>
      <w:sz w:val="20"/>
      <w:szCs w:val="20"/>
      <w:lang w:val="en-GB" w:eastAsia="en-US"/>
    </w:rPr>
  </w:style>
  <w:style w:type="paragraph" w:customStyle="1" w:styleId="488">
    <w:name w:val="TH"/>
    <w:basedOn w:val="485"/>
    <w:autoRedefine/>
    <w:qFormat/>
    <w:uiPriority w:val="0"/>
    <w:pPr>
      <w:keepNext/>
    </w:pPr>
  </w:style>
  <w:style w:type="paragraph" w:customStyle="1" w:styleId="489">
    <w:name w:val="标题3"/>
    <w:next w:val="1"/>
    <w:autoRedefine/>
    <w:qFormat/>
    <w:uiPriority w:val="0"/>
    <w:pPr>
      <w:keepNext/>
      <w:tabs>
        <w:tab w:val="left" w:pos="1260"/>
      </w:tabs>
      <w:topLinePunct/>
      <w:adjustRightInd w:val="0"/>
      <w:spacing w:line="480" w:lineRule="atLeast"/>
      <w:ind w:left="1260" w:hanging="420"/>
      <w:outlineLvl w:val="2"/>
    </w:pPr>
    <w:rPr>
      <w:rFonts w:ascii="黑体" w:hAnsi="Times New Roman" w:eastAsia="黑体" w:cs="Times New Roman"/>
      <w:b/>
      <w:sz w:val="28"/>
      <w:szCs w:val="28"/>
      <w:lang w:val="en-US" w:eastAsia="zh-CN" w:bidi="ar-SA"/>
    </w:rPr>
  </w:style>
  <w:style w:type="paragraph" w:customStyle="1" w:styleId="490">
    <w:name w:val="表格文字"/>
    <w:basedOn w:val="1"/>
    <w:autoRedefine/>
    <w:qFormat/>
    <w:uiPriority w:val="0"/>
    <w:rPr>
      <w:rFonts w:eastAsia="楷体_GB2312"/>
      <w:kern w:val="0"/>
      <w:szCs w:val="20"/>
    </w:rPr>
  </w:style>
  <w:style w:type="paragraph" w:customStyle="1" w:styleId="491">
    <w:name w:val="CM39"/>
    <w:basedOn w:val="248"/>
    <w:next w:val="248"/>
    <w:autoRedefine/>
    <w:qFormat/>
    <w:uiPriority w:val="0"/>
    <w:pPr>
      <w:spacing w:after="105"/>
    </w:pPr>
    <w:rPr>
      <w:color w:val="auto"/>
    </w:rPr>
  </w:style>
  <w:style w:type="paragraph" w:customStyle="1" w:styleId="492">
    <w:name w:val="Char Char"/>
    <w:basedOn w:val="1"/>
    <w:autoRedefine/>
    <w:qFormat/>
    <w:uiPriority w:val="0"/>
  </w:style>
  <w:style w:type="paragraph" w:customStyle="1" w:styleId="493">
    <w:name w:val="Header1"/>
    <w:basedOn w:val="494"/>
    <w:autoRedefine/>
    <w:qFormat/>
    <w:uiPriority w:val="0"/>
    <w:rPr>
      <w:b w:val="0"/>
      <w:sz w:val="18"/>
    </w:rPr>
  </w:style>
  <w:style w:type="paragraph" w:customStyle="1" w:styleId="494">
    <w:name w:val="Narrow"/>
    <w:basedOn w:val="1"/>
    <w:autoRedefine/>
    <w:qFormat/>
    <w:uiPriority w:val="0"/>
    <w:pPr>
      <w:widowControl/>
      <w:spacing w:after="240"/>
      <w:jc w:val="left"/>
    </w:pPr>
    <w:rPr>
      <w:rFonts w:ascii="Arial Narrow" w:hAnsi="Arial Narrow"/>
      <w:b/>
      <w:kern w:val="0"/>
      <w:sz w:val="28"/>
      <w:szCs w:val="20"/>
      <w:lang w:val="en-GB" w:eastAsia="en-US"/>
    </w:rPr>
  </w:style>
  <w:style w:type="paragraph" w:customStyle="1" w:styleId="495">
    <w:name w:val="Header Odd"/>
    <w:basedOn w:val="48"/>
    <w:autoRedefine/>
    <w:qFormat/>
    <w:uiPriority w:val="0"/>
    <w:pPr>
      <w:keepLines/>
      <w:widowControl/>
      <w:pBdr>
        <w:bottom w:val="none" w:color="auto" w:sz="0" w:space="0"/>
      </w:pBdr>
      <w:tabs>
        <w:tab w:val="right" w:pos="0"/>
        <w:tab w:val="center" w:pos="4320"/>
        <w:tab w:val="right" w:pos="8640"/>
        <w:tab w:val="clear" w:pos="4153"/>
        <w:tab w:val="clear" w:pos="8306"/>
      </w:tabs>
      <w:snapToGrid/>
      <w:jc w:val="right"/>
    </w:pPr>
    <w:rPr>
      <w:rFonts w:ascii="Arial" w:hAnsi="Arial" w:eastAsia="MS Mincho"/>
      <w:kern w:val="0"/>
      <w:sz w:val="24"/>
      <w:szCs w:val="20"/>
      <w:lang w:val="en-GB" w:eastAsia="ja-JP"/>
    </w:rPr>
  </w:style>
  <w:style w:type="paragraph" w:customStyle="1" w:styleId="496">
    <w:name w:val="Body2a"/>
    <w:basedOn w:val="1"/>
    <w:next w:val="1"/>
    <w:autoRedefine/>
    <w:qFormat/>
    <w:uiPriority w:val="0"/>
    <w:pPr>
      <w:keepNext/>
      <w:widowControl/>
      <w:tabs>
        <w:tab w:val="left" w:pos="2592"/>
      </w:tabs>
      <w:ind w:left="1152"/>
      <w:jc w:val="left"/>
    </w:pPr>
    <w:rPr>
      <w:rFonts w:ascii="Arial" w:hAnsi="Arial" w:eastAsia="PMingLiU"/>
      <w:kern w:val="0"/>
      <w:sz w:val="24"/>
      <w:szCs w:val="20"/>
      <w:lang w:val="en-GB" w:eastAsia="zh-TW"/>
    </w:rPr>
  </w:style>
  <w:style w:type="paragraph" w:customStyle="1" w:styleId="497">
    <w:name w:val="表格文字（大）"/>
    <w:basedOn w:val="1"/>
    <w:autoRedefine/>
    <w:qFormat/>
    <w:uiPriority w:val="0"/>
    <w:pPr>
      <w:spacing w:before="20" w:after="20"/>
    </w:pPr>
    <w:rPr>
      <w:rFonts w:ascii="Century Gothic" w:hAnsi="Century Gothic"/>
      <w:sz w:val="24"/>
      <w:szCs w:val="20"/>
    </w:rPr>
  </w:style>
  <w:style w:type="paragraph" w:customStyle="1" w:styleId="498">
    <w:name w:val="正文表标题"/>
    <w:next w:val="297"/>
    <w:autoRedefine/>
    <w:qFormat/>
    <w:uiPriority w:val="0"/>
    <w:pPr>
      <w:numPr>
        <w:ilvl w:val="0"/>
        <w:numId w:val="13"/>
      </w:numPr>
      <w:jc w:val="center"/>
    </w:pPr>
    <w:rPr>
      <w:rFonts w:ascii="黑体" w:hAnsi="Times New Roman" w:eastAsia="黑体" w:cs="Times New Roman"/>
      <w:sz w:val="21"/>
      <w:lang w:val="en-US" w:eastAsia="zh-CN" w:bidi="ar-SA"/>
    </w:rPr>
  </w:style>
  <w:style w:type="paragraph" w:customStyle="1" w:styleId="499">
    <w:name w:val="Char Char Char1"/>
    <w:basedOn w:val="1"/>
    <w:autoRedefine/>
    <w:qFormat/>
    <w:uiPriority w:val="0"/>
    <w:rPr>
      <w:rFonts w:ascii="Tahoma" w:hAnsi="Tahoma" w:cs="Tahoma"/>
      <w:sz w:val="24"/>
    </w:rPr>
  </w:style>
  <w:style w:type="paragraph" w:customStyle="1" w:styleId="500">
    <w:name w:val="Char1 Char Char Char Char Char Char"/>
    <w:basedOn w:val="22"/>
    <w:autoRedefine/>
    <w:qFormat/>
    <w:uiPriority w:val="0"/>
    <w:rPr>
      <w:rFonts w:ascii="Tahoma" w:hAnsi="Tahoma"/>
      <w:sz w:val="24"/>
    </w:rPr>
  </w:style>
  <w:style w:type="paragraph" w:customStyle="1" w:styleId="501">
    <w:name w:val="Appendix Index level 2"/>
    <w:basedOn w:val="1"/>
    <w:autoRedefine/>
    <w:qFormat/>
    <w:uiPriority w:val="0"/>
    <w:pPr>
      <w:tabs>
        <w:tab w:val="left" w:pos="567"/>
      </w:tabs>
      <w:ind w:left="567" w:hanging="567"/>
      <w:jc w:val="left"/>
    </w:pPr>
    <w:rPr>
      <w:rFonts w:eastAsia="PMingLiU"/>
      <w:snapToGrid w:val="0"/>
      <w:kern w:val="0"/>
      <w:sz w:val="24"/>
      <w:lang w:val="en-AU" w:eastAsia="en-US"/>
    </w:rPr>
  </w:style>
  <w:style w:type="paragraph" w:customStyle="1" w:styleId="502">
    <w:name w:val="CM20"/>
    <w:basedOn w:val="248"/>
    <w:next w:val="248"/>
    <w:autoRedefine/>
    <w:qFormat/>
    <w:uiPriority w:val="0"/>
    <w:pPr>
      <w:spacing w:line="468" w:lineRule="atLeast"/>
    </w:pPr>
    <w:rPr>
      <w:color w:val="auto"/>
    </w:rPr>
  </w:style>
  <w:style w:type="paragraph" w:customStyle="1" w:styleId="503">
    <w:name w:val="Notes Heading in Table"/>
    <w:next w:val="386"/>
    <w:autoRedefine/>
    <w:qFormat/>
    <w:uiPriority w:val="0"/>
    <w:pPr>
      <w:keepNext/>
      <w:spacing w:before="40" w:after="40"/>
      <w:jc w:val="both"/>
    </w:pPr>
    <w:rPr>
      <w:rFonts w:ascii="Arial" w:hAnsi="Arial" w:eastAsia="黑体" w:cs="Arial"/>
      <w:sz w:val="18"/>
      <w:szCs w:val="18"/>
      <w:lang w:val="en-US" w:eastAsia="zh-CN" w:bidi="ar-SA"/>
    </w:rPr>
  </w:style>
  <w:style w:type="paragraph" w:customStyle="1" w:styleId="504">
    <w:name w:val="PMC Procedure Normal 3"/>
    <w:basedOn w:val="179"/>
    <w:autoRedefine/>
    <w:qFormat/>
    <w:uiPriority w:val="0"/>
    <w:pPr>
      <w:ind w:left="0"/>
    </w:pPr>
    <w:rPr>
      <w:szCs w:val="21"/>
    </w:rPr>
  </w:style>
  <w:style w:type="paragraph" w:customStyle="1" w:styleId="505">
    <w:name w:val="Footer Even"/>
    <w:basedOn w:val="47"/>
    <w:autoRedefine/>
    <w:qFormat/>
    <w:uiPriority w:val="0"/>
    <w:pPr>
      <w:keepLines/>
      <w:widowControl/>
      <w:tabs>
        <w:tab w:val="center" w:pos="4320"/>
        <w:tab w:val="right" w:pos="8640"/>
        <w:tab w:val="clear" w:pos="4153"/>
        <w:tab w:val="clear" w:pos="8306"/>
      </w:tabs>
      <w:snapToGrid/>
    </w:pPr>
    <w:rPr>
      <w:rFonts w:ascii="Arial" w:hAnsi="Arial" w:eastAsia="MS Mincho"/>
      <w:kern w:val="0"/>
      <w:sz w:val="24"/>
      <w:szCs w:val="20"/>
      <w:lang w:val="en-GB" w:eastAsia="ja-JP"/>
    </w:rPr>
  </w:style>
  <w:style w:type="paragraph" w:customStyle="1" w:styleId="506">
    <w:name w:val="Body Text Indent2"/>
    <w:basedOn w:val="30"/>
    <w:autoRedefine/>
    <w:qFormat/>
    <w:uiPriority w:val="0"/>
    <w:pPr>
      <w:widowControl/>
      <w:ind w:left="2160" w:leftChars="0"/>
    </w:pPr>
    <w:rPr>
      <w:rFonts w:ascii="Arial" w:hAnsi="Arial"/>
      <w:kern w:val="0"/>
      <w:sz w:val="22"/>
      <w:szCs w:val="20"/>
      <w:lang w:eastAsia="en-US"/>
    </w:rPr>
  </w:style>
  <w:style w:type="paragraph" w:customStyle="1" w:styleId="507">
    <w:name w:val="正文（首行不缩进）"/>
    <w:basedOn w:val="1"/>
    <w:autoRedefine/>
    <w:qFormat/>
    <w:uiPriority w:val="0"/>
    <w:pPr>
      <w:adjustRightInd w:val="0"/>
      <w:spacing w:line="312" w:lineRule="atLeast"/>
      <w:ind w:firstLine="420"/>
      <w:textAlignment w:val="baseline"/>
    </w:pPr>
    <w:rPr>
      <w:rFonts w:ascii="宋体" w:hAnsi="宋体"/>
      <w:kern w:val="0"/>
      <w:sz w:val="24"/>
      <w:szCs w:val="20"/>
    </w:rPr>
  </w:style>
  <w:style w:type="paragraph" w:customStyle="1" w:styleId="508">
    <w:name w:val="Main Body Text"/>
    <w:basedOn w:val="1"/>
    <w:autoRedefine/>
    <w:qFormat/>
    <w:uiPriority w:val="0"/>
    <w:pPr>
      <w:widowControl/>
      <w:overflowPunct w:val="0"/>
      <w:autoSpaceDE w:val="0"/>
      <w:autoSpaceDN w:val="0"/>
      <w:adjustRightInd w:val="0"/>
      <w:spacing w:before="100" w:line="220" w:lineRule="exact"/>
      <w:ind w:left="851" w:firstLine="284"/>
      <w:textAlignment w:val="baseline"/>
    </w:pPr>
    <w:rPr>
      <w:kern w:val="0"/>
      <w:sz w:val="20"/>
      <w:szCs w:val="20"/>
      <w:lang w:val="en-GB" w:eastAsia="en-US"/>
    </w:rPr>
  </w:style>
  <w:style w:type="paragraph" w:customStyle="1" w:styleId="509">
    <w:name w:val="reader-word-layer reader-word-s1-9"/>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10">
    <w:name w:val="6.2.2"/>
    <w:basedOn w:val="1"/>
    <w:autoRedefine/>
    <w:qFormat/>
    <w:uiPriority w:val="0"/>
    <w:pPr>
      <w:autoSpaceDE w:val="0"/>
      <w:autoSpaceDN w:val="0"/>
      <w:adjustRightInd w:val="0"/>
      <w:spacing w:line="360" w:lineRule="auto"/>
      <w:ind w:left="493"/>
      <w:jc w:val="left"/>
    </w:pPr>
    <w:rPr>
      <w:kern w:val="0"/>
      <w:sz w:val="24"/>
    </w:rPr>
  </w:style>
  <w:style w:type="paragraph" w:customStyle="1" w:styleId="511">
    <w:name w:val="PMC Procedure Heading 3"/>
    <w:basedOn w:val="4"/>
    <w:autoRedefine/>
    <w:qFormat/>
    <w:uiPriority w:val="0"/>
    <w:pPr>
      <w:widowControl/>
      <w:tabs>
        <w:tab w:val="left" w:pos="720"/>
      </w:tabs>
      <w:spacing w:before="120" w:after="60" w:line="240" w:lineRule="auto"/>
      <w:ind w:left="720" w:hanging="720"/>
      <w:jc w:val="left"/>
    </w:pPr>
    <w:rPr>
      <w:rFonts w:ascii="Arial Bold" w:hAnsi="Arial Bold"/>
      <w:bCs w:val="0"/>
      <w:kern w:val="0"/>
      <w:sz w:val="22"/>
      <w:szCs w:val="20"/>
      <w:lang w:val="en-GB" w:eastAsia="en-US"/>
    </w:rPr>
  </w:style>
  <w:style w:type="paragraph" w:customStyle="1" w:styleId="512">
    <w:name w:val="1 Char Char Char Char"/>
    <w:basedOn w:val="1"/>
    <w:autoRedefine/>
    <w:qFormat/>
    <w:uiPriority w:val="0"/>
    <w:rPr>
      <w:rFonts w:ascii="Tahoma" w:hAnsi="Tahoma"/>
      <w:sz w:val="24"/>
      <w:szCs w:val="20"/>
    </w:rPr>
  </w:style>
  <w:style w:type="paragraph" w:customStyle="1" w:styleId="513">
    <w:name w:val="CM5"/>
    <w:basedOn w:val="248"/>
    <w:next w:val="248"/>
    <w:autoRedefine/>
    <w:qFormat/>
    <w:uiPriority w:val="0"/>
    <w:pPr>
      <w:spacing w:line="273" w:lineRule="atLeast"/>
    </w:pPr>
    <w:rPr>
      <w:color w:val="auto"/>
    </w:rPr>
  </w:style>
  <w:style w:type="paragraph" w:customStyle="1" w:styleId="514">
    <w:name w:val="技标1"/>
    <w:basedOn w:val="2"/>
    <w:autoRedefine/>
    <w:qFormat/>
    <w:uiPriority w:val="0"/>
    <w:pPr>
      <w:keepNext w:val="0"/>
      <w:adjustRightInd w:val="0"/>
      <w:spacing w:before="720" w:after="120" w:line="420" w:lineRule="atLeast"/>
      <w:textAlignment w:val="baseline"/>
    </w:pPr>
    <w:rPr>
      <w:b/>
      <w:kern w:val="0"/>
      <w:sz w:val="32"/>
    </w:rPr>
  </w:style>
  <w:style w:type="paragraph" w:customStyle="1" w:styleId="515">
    <w:name w:val="IN Step"/>
    <w:basedOn w:val="1"/>
    <w:autoRedefine/>
    <w:qFormat/>
    <w:uiPriority w:val="0"/>
    <w:pPr>
      <w:keepLines/>
      <w:widowControl/>
      <w:tabs>
        <w:tab w:val="left" w:pos="1134"/>
      </w:tabs>
      <w:spacing w:before="80" w:after="80" w:line="300" w:lineRule="auto"/>
      <w:ind w:left="1134" w:hanging="907"/>
      <w:outlineLvl w:val="8"/>
    </w:pPr>
    <w:rPr>
      <w:rFonts w:ascii="Arial" w:hAnsi="Arial" w:cs="Arial"/>
      <w:kern w:val="0"/>
      <w:szCs w:val="21"/>
    </w:rPr>
  </w:style>
  <w:style w:type="paragraph" w:customStyle="1" w:styleId="516">
    <w:name w:val="Item Step"/>
    <w:autoRedefine/>
    <w:qFormat/>
    <w:uiPriority w:val="0"/>
    <w:pPr>
      <w:tabs>
        <w:tab w:val="left" w:pos="1644"/>
      </w:tabs>
      <w:spacing w:line="300" w:lineRule="auto"/>
      <w:ind w:left="1644" w:hanging="510"/>
      <w:outlineLvl w:val="4"/>
    </w:pPr>
    <w:rPr>
      <w:rFonts w:ascii="Arial" w:hAnsi="Arial" w:eastAsia="宋体" w:cs="Arial"/>
      <w:sz w:val="21"/>
      <w:szCs w:val="21"/>
      <w:lang w:val="en-US" w:eastAsia="zh-CN" w:bidi="ar-SA"/>
    </w:rPr>
  </w:style>
  <w:style w:type="paragraph" w:customStyle="1" w:styleId="517">
    <w:name w:val="Char Char Char Char2"/>
    <w:basedOn w:val="1"/>
    <w:autoRedefine/>
    <w:qFormat/>
    <w:uiPriority w:val="0"/>
  </w:style>
  <w:style w:type="paragraph" w:customStyle="1" w:styleId="518">
    <w:name w:val="IN Feature"/>
    <w:next w:val="515"/>
    <w:autoRedefine/>
    <w:qFormat/>
    <w:uiPriority w:val="0"/>
    <w:pPr>
      <w:keepNext/>
      <w:keepLines/>
      <w:spacing w:before="240" w:after="240"/>
      <w:outlineLvl w:val="7"/>
    </w:pPr>
    <w:rPr>
      <w:rFonts w:ascii="Arial" w:hAnsi="Arial" w:eastAsia="黑体" w:cs="Arial"/>
      <w:sz w:val="21"/>
      <w:szCs w:val="21"/>
      <w:lang w:val="en-US" w:eastAsia="zh-CN" w:bidi="ar-SA"/>
    </w:rPr>
  </w:style>
  <w:style w:type="paragraph" w:customStyle="1" w:styleId="519">
    <w:name w:val="目录标题"/>
    <w:basedOn w:val="1"/>
    <w:autoRedefine/>
    <w:qFormat/>
    <w:uiPriority w:val="0"/>
    <w:pPr>
      <w:spacing w:line="360" w:lineRule="auto"/>
      <w:jc w:val="center"/>
    </w:pPr>
    <w:rPr>
      <w:rFonts w:eastAsia="华文中宋"/>
      <w:b/>
      <w:sz w:val="30"/>
      <w:szCs w:val="20"/>
    </w:rPr>
  </w:style>
  <w:style w:type="paragraph" w:customStyle="1" w:styleId="520">
    <w:name w:val="Char Char2 Char Char"/>
    <w:basedOn w:val="1"/>
    <w:autoRedefine/>
    <w:qFormat/>
    <w:uiPriority w:val="0"/>
    <w:rPr>
      <w:szCs w:val="21"/>
    </w:rPr>
  </w:style>
  <w:style w:type="paragraph" w:customStyle="1" w:styleId="521">
    <w:name w:val="ITTBODYTEXT"/>
    <w:basedOn w:val="1"/>
    <w:next w:val="63"/>
    <w:autoRedefine/>
    <w:qFormat/>
    <w:uiPriority w:val="0"/>
    <w:pPr>
      <w:widowControl/>
    </w:pPr>
    <w:rPr>
      <w:rFonts w:ascii="Arial" w:hAnsi="Arial" w:eastAsia="MS Mincho"/>
      <w:kern w:val="0"/>
      <w:sz w:val="22"/>
      <w:szCs w:val="20"/>
      <w:lang w:val="en-GB" w:eastAsia="ja-JP"/>
    </w:rPr>
  </w:style>
  <w:style w:type="paragraph" w:customStyle="1" w:styleId="522">
    <w:name w:val="Definition Term"/>
    <w:basedOn w:val="1"/>
    <w:next w:val="1"/>
    <w:autoRedefine/>
    <w:qFormat/>
    <w:uiPriority w:val="0"/>
    <w:pPr>
      <w:autoSpaceDE w:val="0"/>
      <w:autoSpaceDN w:val="0"/>
      <w:adjustRightInd w:val="0"/>
      <w:jc w:val="left"/>
    </w:pPr>
    <w:rPr>
      <w:kern w:val="0"/>
      <w:sz w:val="24"/>
      <w:szCs w:val="20"/>
    </w:rPr>
  </w:style>
  <w:style w:type="paragraph" w:customStyle="1" w:styleId="523">
    <w:name w:val="Normal1"/>
    <w:autoRedefine/>
    <w:qFormat/>
    <w:uiPriority w:val="0"/>
    <w:pPr>
      <w:widowControl w:val="0"/>
      <w:adjustRightInd w:val="0"/>
      <w:spacing w:line="312" w:lineRule="atLeast"/>
      <w:jc w:val="both"/>
      <w:textAlignment w:val="baseline"/>
    </w:pPr>
    <w:rPr>
      <w:rFonts w:ascii="Times New Roman" w:hAnsi="Times New Roman" w:eastAsia="宋体" w:cs="Times New Roman"/>
      <w:lang w:val="en-US" w:eastAsia="zh-CN" w:bidi="ar-SA"/>
    </w:rPr>
  </w:style>
  <w:style w:type="paragraph" w:customStyle="1" w:styleId="524">
    <w:name w:val="Title Cover"/>
    <w:basedOn w:val="326"/>
    <w:next w:val="525"/>
    <w:autoRedefine/>
    <w:qFormat/>
    <w:uiPriority w:val="0"/>
    <w:pPr>
      <w:spacing w:before="720" w:after="160"/>
      <w:jc w:val="center"/>
    </w:pPr>
    <w:rPr>
      <w:sz w:val="48"/>
    </w:rPr>
  </w:style>
  <w:style w:type="paragraph" w:customStyle="1" w:styleId="525">
    <w:name w:val="Subtitle Cover"/>
    <w:basedOn w:val="1"/>
    <w:next w:val="29"/>
    <w:autoRedefine/>
    <w:qFormat/>
    <w:uiPriority w:val="0"/>
    <w:pPr>
      <w:keepNext/>
      <w:widowControl/>
      <w:spacing w:before="240" w:after="160"/>
      <w:jc w:val="center"/>
    </w:pPr>
    <w:rPr>
      <w:rFonts w:ascii="Arial" w:hAnsi="Arial" w:eastAsia="MS Mincho"/>
      <w:i/>
      <w:kern w:val="28"/>
      <w:sz w:val="36"/>
      <w:szCs w:val="20"/>
      <w:lang w:val="en-GB" w:eastAsia="ja-JP"/>
    </w:rPr>
  </w:style>
  <w:style w:type="paragraph" w:customStyle="1" w:styleId="526">
    <w:name w:val="样式 标题 4 + 小四 段前: 5 磅 段后: 5 磅 行距: 固定值 20 磅"/>
    <w:basedOn w:val="5"/>
    <w:autoRedefine/>
    <w:qFormat/>
    <w:uiPriority w:val="0"/>
    <w:pPr>
      <w:spacing w:before="100" w:beforeAutospacing="1" w:after="100" w:afterAutospacing="1" w:line="400" w:lineRule="exact"/>
    </w:pPr>
    <w:rPr>
      <w:rFonts w:ascii="Arial" w:hAnsi="Arial" w:eastAsia="黑体" w:cs="宋体"/>
      <w:sz w:val="24"/>
      <w:szCs w:val="20"/>
    </w:rPr>
  </w:style>
  <w:style w:type="paragraph" w:customStyle="1" w:styleId="527">
    <w:name w:val="Style6"/>
    <w:basedOn w:val="50"/>
    <w:autoRedefine/>
    <w:qFormat/>
    <w:uiPriority w:val="0"/>
    <w:pPr>
      <w:widowControl/>
      <w:tabs>
        <w:tab w:val="left" w:pos="660"/>
        <w:tab w:val="right" w:leader="dot" w:pos="9498"/>
      </w:tabs>
      <w:spacing w:before="240" w:after="120"/>
      <w:jc w:val="left"/>
    </w:pPr>
    <w:rPr>
      <w:rFonts w:ascii="Arial" w:hAnsi="Arial" w:cs="Arial"/>
      <w:caps/>
      <w:kern w:val="0"/>
      <w:sz w:val="24"/>
    </w:rPr>
  </w:style>
  <w:style w:type="paragraph" w:customStyle="1" w:styleId="528">
    <w:name w:val="字母编号列项（一级）"/>
    <w:autoRedefine/>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529">
    <w:name w:val="Section Heading"/>
    <w:basedOn w:val="326"/>
    <w:autoRedefine/>
    <w:qFormat/>
    <w:uiPriority w:val="0"/>
    <w:pPr>
      <w:spacing w:before="120" w:after="160"/>
    </w:pPr>
    <w:rPr>
      <w:sz w:val="28"/>
    </w:rPr>
  </w:style>
  <w:style w:type="paragraph" w:customStyle="1" w:styleId="530">
    <w:name w:val="列表项目符号1"/>
    <w:basedOn w:val="1"/>
    <w:autoRedefine/>
    <w:qFormat/>
    <w:uiPriority w:val="0"/>
    <w:pPr>
      <w:keepLines/>
      <w:tabs>
        <w:tab w:val="left" w:pos="420"/>
      </w:tabs>
      <w:spacing w:before="80" w:after="80" w:line="360" w:lineRule="atLeast"/>
      <w:ind w:left="420" w:hanging="420"/>
      <w:jc w:val="left"/>
    </w:pPr>
    <w:rPr>
      <w:rFonts w:ascii="Arial" w:hAnsi="Arial" w:eastAsia="Batang"/>
      <w:color w:val="000000"/>
      <w:kern w:val="0"/>
      <w:sz w:val="22"/>
      <w:szCs w:val="20"/>
      <w:lang w:eastAsia="en-US"/>
    </w:rPr>
  </w:style>
  <w:style w:type="paragraph" w:customStyle="1" w:styleId="531">
    <w:name w:val="标题-1"/>
    <w:autoRedefine/>
    <w:qFormat/>
    <w:uiPriority w:val="0"/>
    <w:pPr>
      <w:spacing w:after="360"/>
      <w:ind w:left="851"/>
      <w:outlineLvl w:val="0"/>
    </w:pPr>
    <w:rPr>
      <w:rFonts w:ascii="Arial" w:hAnsi="Arial" w:eastAsia="黑体" w:cs="Times New Roman"/>
      <w:b/>
      <w:sz w:val="36"/>
      <w:lang w:val="en-US" w:eastAsia="zh-CN" w:bidi="ar-SA"/>
    </w:rPr>
  </w:style>
  <w:style w:type="paragraph" w:customStyle="1" w:styleId="532">
    <w:name w:val="默认段落字体 Para Char Char Char Char Char Char Char Char Char Char Char Char Char"/>
    <w:basedOn w:val="22"/>
    <w:autoRedefine/>
    <w:qFormat/>
    <w:uiPriority w:val="0"/>
    <w:rPr>
      <w:rFonts w:ascii="Tahoma" w:hAnsi="Tahoma"/>
      <w:sz w:val="24"/>
    </w:rPr>
  </w:style>
  <w:style w:type="paragraph" w:customStyle="1" w:styleId="533">
    <w:name w:val="符号"/>
    <w:basedOn w:val="1"/>
    <w:autoRedefine/>
    <w:qFormat/>
    <w:uiPriority w:val="0"/>
    <w:pPr>
      <w:tabs>
        <w:tab w:val="left" w:pos="425"/>
      </w:tabs>
      <w:topLinePunct/>
      <w:spacing w:line="360" w:lineRule="auto"/>
      <w:ind w:left="425" w:hanging="425"/>
    </w:pPr>
    <w:rPr>
      <w:sz w:val="24"/>
    </w:rPr>
  </w:style>
  <w:style w:type="paragraph" w:customStyle="1" w:styleId="534">
    <w:name w:val="CG-Single Sp"/>
    <w:basedOn w:val="1"/>
    <w:autoRedefine/>
    <w:qFormat/>
    <w:uiPriority w:val="0"/>
    <w:pPr>
      <w:spacing w:after="240"/>
    </w:pPr>
    <w:rPr>
      <w:rFonts w:ascii="Arial" w:hAnsi="Arial" w:eastAsia="Times New Roman"/>
      <w:kern w:val="0"/>
      <w:sz w:val="22"/>
      <w:lang w:eastAsia="zh-TW"/>
    </w:rPr>
  </w:style>
  <w:style w:type="paragraph" w:customStyle="1" w:styleId="535">
    <w:name w:val="Char9 Char Char Char Char Char Char"/>
    <w:basedOn w:val="22"/>
    <w:autoRedefine/>
    <w:qFormat/>
    <w:uiPriority w:val="0"/>
    <w:pPr>
      <w:spacing w:line="360" w:lineRule="auto"/>
      <w:ind w:firstLine="200" w:firstLineChars="200"/>
    </w:pPr>
    <w:rPr>
      <w:rFonts w:ascii="Tahoma" w:hAnsi="Tahoma"/>
      <w:sz w:val="24"/>
    </w:rPr>
  </w:style>
  <w:style w:type="paragraph" w:customStyle="1" w:styleId="536">
    <w:name w:val="段前: 0.5 行 行距: 固定值 18 磅 + 段前: 0.5 行"/>
    <w:basedOn w:val="1"/>
    <w:autoRedefine/>
    <w:qFormat/>
    <w:uiPriority w:val="0"/>
    <w:pPr>
      <w:tabs>
        <w:tab w:val="left" w:pos="900"/>
      </w:tabs>
      <w:spacing w:line="360" w:lineRule="exact"/>
      <w:ind w:left="900" w:hanging="420"/>
    </w:pPr>
    <w:rPr>
      <w:rFonts w:cs="宋体"/>
      <w:sz w:val="24"/>
      <w:szCs w:val="20"/>
    </w:rPr>
  </w:style>
  <w:style w:type="paragraph" w:customStyle="1" w:styleId="537">
    <w:name w:val="H4"/>
    <w:basedOn w:val="1"/>
    <w:next w:val="1"/>
    <w:autoRedefine/>
    <w:qFormat/>
    <w:uiPriority w:val="0"/>
    <w:pPr>
      <w:keepNext/>
      <w:autoSpaceDE w:val="0"/>
      <w:autoSpaceDN w:val="0"/>
      <w:adjustRightInd w:val="0"/>
      <w:spacing w:before="100" w:after="100"/>
      <w:jc w:val="left"/>
      <w:outlineLvl w:val="4"/>
    </w:pPr>
    <w:rPr>
      <w:b/>
      <w:kern w:val="0"/>
      <w:sz w:val="24"/>
      <w:szCs w:val="20"/>
    </w:rPr>
  </w:style>
  <w:style w:type="paragraph" w:customStyle="1" w:styleId="538">
    <w:name w:val="List Last"/>
    <w:basedOn w:val="13"/>
    <w:next w:val="29"/>
    <w:autoRedefine/>
    <w:qFormat/>
    <w:uiPriority w:val="0"/>
    <w:pPr>
      <w:widowControl/>
      <w:tabs>
        <w:tab w:val="left" w:pos="720"/>
      </w:tabs>
      <w:spacing w:before="120" w:after="240"/>
      <w:ind w:left="720" w:right="274" w:hanging="360" w:firstLineChars="0"/>
    </w:pPr>
    <w:rPr>
      <w:rFonts w:ascii="Univers" w:hAnsi="Univers" w:eastAsia="MS Mincho"/>
      <w:kern w:val="0"/>
      <w:sz w:val="22"/>
      <w:szCs w:val="20"/>
      <w:lang w:val="en-GB" w:eastAsia="ja-JP"/>
    </w:rPr>
  </w:style>
  <w:style w:type="paragraph" w:customStyle="1" w:styleId="539">
    <w:name w:val="Normal2"/>
    <w:basedOn w:val="1"/>
    <w:autoRedefine/>
    <w:qFormat/>
    <w:uiPriority w:val="0"/>
    <w:pPr>
      <w:widowControl/>
      <w:spacing w:after="120"/>
      <w:ind w:left="851"/>
    </w:pPr>
    <w:rPr>
      <w:rFonts w:ascii="Arial" w:hAnsi="Arial"/>
      <w:kern w:val="0"/>
      <w:sz w:val="22"/>
      <w:lang w:val="en-GB" w:eastAsia="en-US"/>
    </w:rPr>
  </w:style>
  <w:style w:type="paragraph" w:customStyle="1" w:styleId="540">
    <w:name w:val="reader-word-layer reader-word-s1-1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41">
    <w:name w:val="CM38"/>
    <w:basedOn w:val="248"/>
    <w:next w:val="248"/>
    <w:autoRedefine/>
    <w:qFormat/>
    <w:uiPriority w:val="0"/>
    <w:pPr>
      <w:spacing w:after="188"/>
    </w:pPr>
    <w:rPr>
      <w:color w:val="auto"/>
    </w:rPr>
  </w:style>
  <w:style w:type="paragraph" w:customStyle="1" w:styleId="542">
    <w:name w:val="reader-word-layer reader-word-s1-1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43">
    <w:name w:val="正文缩进1"/>
    <w:basedOn w:val="1"/>
    <w:autoRedefine/>
    <w:qFormat/>
    <w:uiPriority w:val="0"/>
    <w:pPr>
      <w:ind w:firstLine="420"/>
    </w:pPr>
    <w:rPr>
      <w:sz w:val="24"/>
      <w:szCs w:val="20"/>
    </w:rPr>
  </w:style>
  <w:style w:type="paragraph" w:customStyle="1" w:styleId="544">
    <w:name w:val="Appendix Title Text"/>
    <w:basedOn w:val="378"/>
    <w:autoRedefine/>
    <w:qFormat/>
    <w:uiPriority w:val="0"/>
    <w:pPr>
      <w:pageBreakBefore w:val="0"/>
      <w:spacing w:before="0" w:after="0"/>
    </w:pPr>
    <w:rPr>
      <w:sz w:val="32"/>
    </w:rPr>
  </w:style>
  <w:style w:type="paragraph" w:customStyle="1" w:styleId="545">
    <w:name w:val="招标文件1.1.1.1"/>
    <w:basedOn w:val="1"/>
    <w:autoRedefine/>
    <w:qFormat/>
    <w:uiPriority w:val="0"/>
    <w:pPr>
      <w:spacing w:before="120" w:after="120" w:line="480" w:lineRule="exact"/>
      <w:ind w:left="200"/>
      <w:jc w:val="left"/>
      <w:outlineLvl w:val="4"/>
    </w:pPr>
    <w:rPr>
      <w:rFonts w:ascii="宋体"/>
      <w:b/>
      <w:spacing w:val="10"/>
      <w:w w:val="95"/>
    </w:rPr>
  </w:style>
  <w:style w:type="paragraph" w:customStyle="1" w:styleId="546">
    <w:name w:val="Footer First"/>
    <w:basedOn w:val="47"/>
    <w:autoRedefine/>
    <w:qFormat/>
    <w:uiPriority w:val="0"/>
    <w:pPr>
      <w:keepLines/>
      <w:widowControl/>
      <w:tabs>
        <w:tab w:val="center" w:pos="4320"/>
        <w:tab w:val="clear" w:pos="4153"/>
        <w:tab w:val="clear" w:pos="8306"/>
      </w:tabs>
      <w:snapToGrid/>
      <w:jc w:val="center"/>
    </w:pPr>
    <w:rPr>
      <w:rFonts w:ascii="Arial" w:hAnsi="Arial" w:eastAsia="MS Mincho"/>
      <w:kern w:val="0"/>
      <w:sz w:val="24"/>
      <w:szCs w:val="20"/>
      <w:lang w:val="en-GB" w:eastAsia="ja-JP"/>
    </w:rPr>
  </w:style>
  <w:style w:type="paragraph" w:customStyle="1" w:styleId="547">
    <w:name w:val="样式2"/>
    <w:basedOn w:val="5"/>
    <w:autoRedefine/>
    <w:qFormat/>
    <w:uiPriority w:val="0"/>
    <w:pPr>
      <w:tabs>
        <w:tab w:val="left" w:pos="1814"/>
      </w:tabs>
      <w:spacing w:line="400" w:lineRule="exact"/>
      <w:ind w:left="1814" w:hanging="1200"/>
      <w:jc w:val="center"/>
      <w:outlineLvl w:val="0"/>
    </w:pPr>
    <w:rPr>
      <w:b w:val="0"/>
      <w:sz w:val="44"/>
    </w:rPr>
  </w:style>
  <w:style w:type="paragraph" w:customStyle="1" w:styleId="548">
    <w:name w:val="Index Base"/>
    <w:basedOn w:val="1"/>
    <w:autoRedefine/>
    <w:qFormat/>
    <w:uiPriority w:val="0"/>
    <w:pPr>
      <w:widowControl/>
      <w:tabs>
        <w:tab w:val="right" w:leader="dot" w:pos="3960"/>
      </w:tabs>
      <w:ind w:left="720" w:hanging="720"/>
      <w:jc w:val="left"/>
    </w:pPr>
    <w:rPr>
      <w:rFonts w:ascii="Arial" w:hAnsi="Arial" w:eastAsia="MS Mincho"/>
      <w:kern w:val="0"/>
      <w:sz w:val="24"/>
      <w:szCs w:val="20"/>
      <w:lang w:val="en-GB" w:eastAsia="ja-JP"/>
    </w:rPr>
  </w:style>
  <w:style w:type="paragraph" w:customStyle="1" w:styleId="549">
    <w:name w:val="H1"/>
    <w:basedOn w:val="1"/>
    <w:autoRedefine/>
    <w:qFormat/>
    <w:uiPriority w:val="0"/>
    <w:pPr>
      <w:tabs>
        <w:tab w:val="left" w:pos="432"/>
      </w:tabs>
      <w:autoSpaceDE w:val="0"/>
      <w:autoSpaceDN w:val="0"/>
      <w:adjustRightInd w:val="0"/>
      <w:spacing w:before="240" w:line="360" w:lineRule="auto"/>
      <w:ind w:left="431" w:hanging="431"/>
      <w:jc w:val="left"/>
    </w:pPr>
    <w:rPr>
      <w:rFonts w:ascii="宋体" w:hAnsi="Arial"/>
      <w:b/>
      <w:kern w:val="0"/>
      <w:sz w:val="24"/>
      <w:szCs w:val="20"/>
    </w:rPr>
  </w:style>
  <w:style w:type="paragraph" w:customStyle="1" w:styleId="550">
    <w:name w:val="Char Char1 Char1"/>
    <w:basedOn w:val="1"/>
    <w:autoRedefine/>
    <w:qFormat/>
    <w:uiPriority w:val="0"/>
    <w:rPr>
      <w:rFonts w:ascii="Arial" w:hAnsi="Arial" w:cs="Arial"/>
    </w:rPr>
  </w:style>
  <w:style w:type="paragraph" w:customStyle="1" w:styleId="551">
    <w:name w:val="sectionhead"/>
    <w:basedOn w:val="1"/>
    <w:autoRedefine/>
    <w:qFormat/>
    <w:uiPriority w:val="0"/>
    <w:pPr>
      <w:widowControl/>
      <w:tabs>
        <w:tab w:val="right" w:pos="9072"/>
      </w:tabs>
      <w:jc w:val="left"/>
    </w:pPr>
    <w:rPr>
      <w:rFonts w:ascii="Arial" w:hAnsi="Arial" w:eastAsia="Times New Roman"/>
      <w:b/>
      <w:kern w:val="0"/>
      <w:sz w:val="28"/>
      <w:szCs w:val="20"/>
      <w:lang w:val="en-GB" w:eastAsia="en-US"/>
    </w:rPr>
  </w:style>
  <w:style w:type="paragraph" w:customStyle="1" w:styleId="552">
    <w:name w:val="插图题注"/>
    <w:next w:val="1"/>
    <w:autoRedefine/>
    <w:qFormat/>
    <w:uiPriority w:val="0"/>
    <w:pPr>
      <w:tabs>
        <w:tab w:val="left" w:pos="2040"/>
      </w:tabs>
      <w:spacing w:afterLines="100"/>
      <w:ind w:left="1089" w:hanging="369"/>
      <w:jc w:val="center"/>
    </w:pPr>
    <w:rPr>
      <w:rFonts w:ascii="Arial" w:hAnsi="Arial" w:eastAsia="宋体" w:cs="Times New Roman"/>
      <w:sz w:val="18"/>
      <w:szCs w:val="18"/>
      <w:lang w:val="en-US" w:eastAsia="zh-CN" w:bidi="ar-SA"/>
    </w:rPr>
  </w:style>
  <w:style w:type="paragraph" w:customStyle="1" w:styleId="553">
    <w:name w:val="Char1 Char Char Char Char Char"/>
    <w:basedOn w:val="22"/>
    <w:autoRedefine/>
    <w:qFormat/>
    <w:uiPriority w:val="0"/>
    <w:rPr>
      <w:rFonts w:ascii="Tahoma" w:hAnsi="Tahoma"/>
      <w:sz w:val="24"/>
    </w:rPr>
  </w:style>
  <w:style w:type="paragraph" w:customStyle="1" w:styleId="554">
    <w:name w:val="正文3"/>
    <w:autoRedefine/>
    <w:qFormat/>
    <w:uiPriority w:val="0"/>
    <w:pPr>
      <w:widowControl w:val="0"/>
      <w:adjustRightInd w:val="0"/>
      <w:spacing w:line="312" w:lineRule="atLeast"/>
      <w:jc w:val="both"/>
      <w:textAlignment w:val="baseline"/>
    </w:pPr>
    <w:rPr>
      <w:rFonts w:ascii="Times New Roman" w:hAnsi="Times New Roman" w:eastAsia="宋体" w:cs="Times New Roman"/>
      <w:lang w:val="en-US" w:eastAsia="zh-CN" w:bidi="ar-SA"/>
    </w:rPr>
  </w:style>
  <w:style w:type="paragraph" w:customStyle="1" w:styleId="555">
    <w:name w:val="Footer Odd"/>
    <w:basedOn w:val="47"/>
    <w:autoRedefine/>
    <w:qFormat/>
    <w:uiPriority w:val="0"/>
    <w:pPr>
      <w:keepLines/>
      <w:widowControl/>
      <w:tabs>
        <w:tab w:val="right" w:pos="0"/>
        <w:tab w:val="center" w:pos="4320"/>
        <w:tab w:val="right" w:pos="8640"/>
        <w:tab w:val="clear" w:pos="4153"/>
        <w:tab w:val="clear" w:pos="8306"/>
      </w:tabs>
      <w:snapToGrid/>
      <w:jc w:val="right"/>
    </w:pPr>
    <w:rPr>
      <w:rFonts w:ascii="Arial" w:hAnsi="Arial" w:eastAsia="MS Mincho"/>
      <w:kern w:val="0"/>
      <w:sz w:val="24"/>
      <w:szCs w:val="20"/>
      <w:lang w:val="en-GB" w:eastAsia="ja-JP"/>
    </w:rPr>
  </w:style>
  <w:style w:type="paragraph" w:customStyle="1" w:styleId="556">
    <w:name w:val="ZT"/>
    <w:autoRedefine/>
    <w:qFormat/>
    <w:uiPriority w:val="0"/>
    <w:pPr>
      <w:widowControl w:val="0"/>
      <w:spacing w:after="96"/>
      <w:jc w:val="center"/>
    </w:pPr>
    <w:rPr>
      <w:rFonts w:ascii="Arial" w:hAnsi="Arial" w:eastAsia="MS Mincho" w:cs="Times New Roman"/>
      <w:b/>
      <w:snapToGrid w:val="0"/>
      <w:sz w:val="32"/>
      <w:lang w:val="en-GB" w:eastAsia="en-US" w:bidi="ar-SA"/>
    </w:rPr>
  </w:style>
  <w:style w:type="paragraph" w:customStyle="1" w:styleId="557">
    <w:name w:val="CM15"/>
    <w:basedOn w:val="248"/>
    <w:next w:val="248"/>
    <w:autoRedefine/>
    <w:qFormat/>
    <w:uiPriority w:val="0"/>
    <w:pPr>
      <w:spacing w:line="468" w:lineRule="atLeast"/>
    </w:pPr>
    <w:rPr>
      <w:color w:val="auto"/>
    </w:rPr>
  </w:style>
  <w:style w:type="paragraph" w:customStyle="1" w:styleId="558">
    <w:name w:val="TOC Base"/>
    <w:basedOn w:val="1"/>
    <w:autoRedefine/>
    <w:qFormat/>
    <w:uiPriority w:val="0"/>
    <w:pPr>
      <w:widowControl/>
      <w:tabs>
        <w:tab w:val="right" w:leader="dot" w:pos="8640"/>
      </w:tabs>
      <w:jc w:val="left"/>
    </w:pPr>
    <w:rPr>
      <w:rFonts w:ascii="Arial" w:hAnsi="Arial" w:eastAsia="MS Mincho"/>
      <w:kern w:val="0"/>
      <w:sz w:val="24"/>
      <w:szCs w:val="20"/>
      <w:lang w:val="en-GB" w:eastAsia="ja-JP"/>
    </w:rPr>
  </w:style>
  <w:style w:type="paragraph" w:customStyle="1" w:styleId="559">
    <w:name w:val="图标题"/>
    <w:basedOn w:val="10"/>
    <w:autoRedefine/>
    <w:qFormat/>
    <w:uiPriority w:val="0"/>
    <w:pPr>
      <w:spacing w:line="360" w:lineRule="auto"/>
      <w:ind w:firstLine="0" w:firstLineChars="0"/>
      <w:jc w:val="center"/>
    </w:pPr>
    <w:rPr>
      <w:rFonts w:eastAsia="楷体_GB2312"/>
      <w:b w:val="0"/>
      <w:sz w:val="24"/>
      <w:szCs w:val="20"/>
    </w:rPr>
  </w:style>
  <w:style w:type="paragraph" w:customStyle="1" w:styleId="560">
    <w:name w:val="须知3"/>
    <w:basedOn w:val="478"/>
    <w:next w:val="10"/>
    <w:autoRedefine/>
    <w:qFormat/>
    <w:uiPriority w:val="0"/>
    <w:pPr>
      <w:tabs>
        <w:tab w:val="left" w:pos="1123"/>
        <w:tab w:val="clear" w:pos="763"/>
      </w:tabs>
    </w:pPr>
  </w:style>
  <w:style w:type="paragraph" w:customStyle="1" w:styleId="561">
    <w:name w:val="Style4"/>
    <w:basedOn w:val="459"/>
    <w:autoRedefine/>
    <w:qFormat/>
    <w:uiPriority w:val="0"/>
    <w:rPr>
      <w:rFonts w:eastAsia="华文仿宋"/>
      <w:bCs w:val="0"/>
      <w:caps w:val="0"/>
      <w:sz w:val="24"/>
      <w:szCs w:val="24"/>
      <w:lang w:val="en-GB"/>
    </w:rPr>
  </w:style>
  <w:style w:type="paragraph" w:customStyle="1" w:styleId="562">
    <w:name w:val="Char Char1 Char"/>
    <w:basedOn w:val="1"/>
    <w:autoRedefine/>
    <w:qFormat/>
    <w:uiPriority w:val="0"/>
    <w:rPr>
      <w:rFonts w:ascii="Arial" w:hAnsi="Arial" w:cs="Arial"/>
    </w:rPr>
  </w:style>
  <w:style w:type="paragraph" w:customStyle="1" w:styleId="563">
    <w:name w:val="Char Char2"/>
    <w:basedOn w:val="1"/>
    <w:autoRedefine/>
    <w:qFormat/>
    <w:uiPriority w:val="0"/>
    <w:pPr>
      <w:tabs>
        <w:tab w:val="left" w:pos="284"/>
      </w:tabs>
    </w:pPr>
  </w:style>
  <w:style w:type="paragraph" w:customStyle="1" w:styleId="564">
    <w:name w:val="Char Char Char Char Char Char Char Char Char Char Char Char Char"/>
    <w:basedOn w:val="1"/>
    <w:autoRedefine/>
    <w:qFormat/>
    <w:uiPriority w:val="0"/>
    <w:rPr>
      <w:rFonts w:ascii="Tahoma" w:hAnsi="Tahoma"/>
      <w:sz w:val="24"/>
      <w:szCs w:val="20"/>
    </w:rPr>
  </w:style>
  <w:style w:type="paragraph" w:customStyle="1" w:styleId="565">
    <w:name w:val="reader-word-layer reader-word-s1-17"/>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66">
    <w:name w:val="列出段落1"/>
    <w:basedOn w:val="1"/>
    <w:autoRedefine/>
    <w:qFormat/>
    <w:uiPriority w:val="0"/>
    <w:pPr>
      <w:ind w:firstLine="420" w:firstLineChars="200"/>
    </w:pPr>
    <w:rPr>
      <w:szCs w:val="21"/>
    </w:rPr>
  </w:style>
  <w:style w:type="paragraph" w:customStyle="1" w:styleId="567">
    <w:name w:val="纯文本1"/>
    <w:basedOn w:val="1"/>
    <w:autoRedefine/>
    <w:qFormat/>
    <w:uiPriority w:val="0"/>
    <w:pPr>
      <w:adjustRightInd w:val="0"/>
      <w:textAlignment w:val="baseline"/>
    </w:pPr>
    <w:rPr>
      <w:rFonts w:ascii="宋体" w:hAnsi="Courier New"/>
      <w:szCs w:val="20"/>
    </w:rPr>
  </w:style>
  <w:style w:type="paragraph" w:customStyle="1" w:styleId="568">
    <w:name w:val="Bullet"/>
    <w:basedOn w:val="30"/>
    <w:autoRedefine/>
    <w:qFormat/>
    <w:uiPriority w:val="0"/>
    <w:pPr>
      <w:suppressAutoHyphens/>
      <w:spacing w:after="0" w:line="420" w:lineRule="exact"/>
      <w:ind w:left="0" w:leftChars="0" w:firstLine="428" w:firstLineChars="200"/>
      <w:jc w:val="left"/>
    </w:pPr>
    <w:rPr>
      <w:rFonts w:ascii="Arial" w:hAnsi="Arial" w:cs="Arial"/>
      <w:snapToGrid w:val="0"/>
      <w:spacing w:val="-3"/>
      <w:kern w:val="0"/>
      <w:sz w:val="22"/>
      <w:szCs w:val="20"/>
      <w:lang w:val="en-GB"/>
    </w:rPr>
  </w:style>
  <w:style w:type="paragraph" w:customStyle="1" w:styleId="569">
    <w:name w:val="Document Label"/>
    <w:basedOn w:val="1"/>
    <w:autoRedefine/>
    <w:qFormat/>
    <w:uiPriority w:val="0"/>
    <w:pPr>
      <w:keepNext/>
      <w:widowControl/>
      <w:spacing w:before="240" w:after="360"/>
      <w:jc w:val="left"/>
    </w:pPr>
    <w:rPr>
      <w:rFonts w:ascii="Arial" w:hAnsi="Arial" w:eastAsia="MS Mincho"/>
      <w:b/>
      <w:kern w:val="28"/>
      <w:sz w:val="36"/>
      <w:szCs w:val="20"/>
      <w:lang w:val="en-GB" w:eastAsia="ja-JP"/>
    </w:rPr>
  </w:style>
  <w:style w:type="paragraph" w:customStyle="1" w:styleId="570">
    <w:name w:val="Chapter Subtitle"/>
    <w:basedOn w:val="1"/>
    <w:next w:val="29"/>
    <w:autoRedefine/>
    <w:qFormat/>
    <w:uiPriority w:val="0"/>
    <w:pPr>
      <w:keepNext/>
      <w:keepLines/>
      <w:widowControl/>
      <w:spacing w:before="360" w:after="360"/>
      <w:jc w:val="center"/>
    </w:pPr>
    <w:rPr>
      <w:rFonts w:ascii="Arial" w:hAnsi="Arial" w:eastAsia="MS Mincho"/>
      <w:i/>
      <w:kern w:val="28"/>
      <w:sz w:val="28"/>
      <w:szCs w:val="20"/>
      <w:lang w:val="en-GB" w:eastAsia="ja-JP"/>
    </w:rPr>
  </w:style>
  <w:style w:type="paragraph" w:customStyle="1" w:styleId="571">
    <w:name w:val="纯文本11"/>
    <w:basedOn w:val="1"/>
    <w:autoRedefine/>
    <w:qFormat/>
    <w:uiPriority w:val="99"/>
    <w:pPr>
      <w:spacing w:line="360" w:lineRule="auto"/>
      <w:ind w:firstLine="200" w:firstLineChars="200"/>
    </w:pPr>
    <w:rPr>
      <w:rFonts w:ascii="宋体" w:hAnsi="Courier New"/>
      <w:color w:val="000000"/>
      <w:sz w:val="28"/>
      <w:szCs w:val="20"/>
    </w:rPr>
  </w:style>
  <w:style w:type="paragraph" w:customStyle="1" w:styleId="572">
    <w:name w:val="CM34"/>
    <w:basedOn w:val="248"/>
    <w:next w:val="248"/>
    <w:autoRedefine/>
    <w:qFormat/>
    <w:uiPriority w:val="0"/>
    <w:pPr>
      <w:spacing w:line="468" w:lineRule="atLeast"/>
    </w:pPr>
    <w:rPr>
      <w:color w:val="auto"/>
    </w:rPr>
  </w:style>
  <w:style w:type="paragraph" w:customStyle="1" w:styleId="573">
    <w:name w:val="缺省文本"/>
    <w:basedOn w:val="1"/>
    <w:autoRedefine/>
    <w:qFormat/>
    <w:uiPriority w:val="0"/>
    <w:pPr>
      <w:autoSpaceDE w:val="0"/>
      <w:autoSpaceDN w:val="0"/>
      <w:adjustRightInd w:val="0"/>
      <w:jc w:val="left"/>
    </w:pPr>
    <w:rPr>
      <w:kern w:val="0"/>
      <w:sz w:val="24"/>
    </w:rPr>
  </w:style>
  <w:style w:type="paragraph" w:customStyle="1" w:styleId="574">
    <w:name w:val="TAJ"/>
    <w:basedOn w:val="1"/>
    <w:autoRedefine/>
    <w:qFormat/>
    <w:uiPriority w:val="0"/>
    <w:pPr>
      <w:keepNext/>
      <w:keepLines/>
    </w:pPr>
    <w:rPr>
      <w:rFonts w:ascii="Arial" w:hAnsi="Arial" w:eastAsia="MS Mincho"/>
      <w:snapToGrid w:val="0"/>
      <w:kern w:val="0"/>
      <w:sz w:val="20"/>
      <w:szCs w:val="20"/>
      <w:lang w:val="en-GB" w:eastAsia="en-US"/>
    </w:rPr>
  </w:style>
  <w:style w:type="paragraph" w:customStyle="1" w:styleId="575">
    <w:name w:val="表格文本"/>
    <w:basedOn w:val="1"/>
    <w:autoRedefine/>
    <w:qFormat/>
    <w:uiPriority w:val="0"/>
    <w:pPr>
      <w:tabs>
        <w:tab w:val="decimal" w:pos="0"/>
      </w:tabs>
      <w:autoSpaceDE w:val="0"/>
      <w:autoSpaceDN w:val="0"/>
      <w:adjustRightInd w:val="0"/>
      <w:ind w:firstLine="482"/>
      <w:jc w:val="left"/>
    </w:pPr>
    <w:rPr>
      <w:b/>
      <w:kern w:val="0"/>
      <w:sz w:val="24"/>
      <w:szCs w:val="20"/>
    </w:rPr>
  </w:style>
  <w:style w:type="paragraph" w:customStyle="1" w:styleId="576">
    <w:name w:val="日期1"/>
    <w:basedOn w:val="1"/>
    <w:next w:val="1"/>
    <w:autoRedefine/>
    <w:qFormat/>
    <w:uiPriority w:val="0"/>
    <w:pPr>
      <w:autoSpaceDE w:val="0"/>
      <w:autoSpaceDN w:val="0"/>
      <w:adjustRightInd w:val="0"/>
      <w:spacing w:line="360" w:lineRule="atLeast"/>
      <w:ind w:firstLine="459"/>
      <w:textAlignment w:val="baseline"/>
    </w:pPr>
    <w:rPr>
      <w:rFonts w:ascii="宋体"/>
      <w:spacing w:val="10"/>
      <w:kern w:val="0"/>
      <w:sz w:val="20"/>
      <w:szCs w:val="20"/>
    </w:rPr>
  </w:style>
  <w:style w:type="paragraph" w:customStyle="1" w:styleId="577">
    <w:name w:val="FP"/>
    <w:basedOn w:val="1"/>
    <w:autoRedefine/>
    <w:qFormat/>
    <w:uiPriority w:val="0"/>
    <w:pPr>
      <w:spacing w:after="240"/>
    </w:pPr>
    <w:rPr>
      <w:rFonts w:ascii="Arial" w:hAnsi="Arial" w:eastAsia="MS Mincho"/>
      <w:snapToGrid w:val="0"/>
      <w:kern w:val="0"/>
      <w:sz w:val="20"/>
      <w:szCs w:val="20"/>
      <w:lang w:val="en-GB" w:eastAsia="en-US"/>
    </w:rPr>
  </w:style>
  <w:style w:type="paragraph" w:customStyle="1" w:styleId="578">
    <w:name w:val="TxBr_p10"/>
    <w:basedOn w:val="1"/>
    <w:autoRedefine/>
    <w:qFormat/>
    <w:uiPriority w:val="0"/>
    <w:pPr>
      <w:tabs>
        <w:tab w:val="left" w:pos="1513"/>
      </w:tabs>
      <w:spacing w:line="413" w:lineRule="atLeast"/>
      <w:ind w:left="1513" w:hanging="742"/>
      <w:jc w:val="left"/>
    </w:pPr>
    <w:rPr>
      <w:kern w:val="0"/>
      <w:sz w:val="24"/>
      <w:lang w:eastAsia="en-US"/>
    </w:rPr>
  </w:style>
  <w:style w:type="paragraph" w:customStyle="1" w:styleId="579">
    <w:name w:val="TxBr_t5"/>
    <w:basedOn w:val="1"/>
    <w:autoRedefine/>
    <w:qFormat/>
    <w:uiPriority w:val="0"/>
    <w:pPr>
      <w:spacing w:line="240" w:lineRule="atLeast"/>
      <w:jc w:val="left"/>
    </w:pPr>
    <w:rPr>
      <w:kern w:val="0"/>
      <w:sz w:val="22"/>
      <w:szCs w:val="20"/>
    </w:rPr>
  </w:style>
  <w:style w:type="paragraph" w:customStyle="1" w:styleId="580">
    <w:name w:val="招标文件1"/>
    <w:basedOn w:val="1"/>
    <w:autoRedefine/>
    <w:qFormat/>
    <w:uiPriority w:val="0"/>
    <w:pPr>
      <w:tabs>
        <w:tab w:val="left" w:pos="420"/>
      </w:tabs>
      <w:spacing w:before="120" w:after="120" w:line="480" w:lineRule="exact"/>
      <w:ind w:left="200"/>
      <w:jc w:val="left"/>
      <w:outlineLvl w:val="1"/>
    </w:pPr>
    <w:rPr>
      <w:rFonts w:ascii="宋体"/>
      <w:b/>
      <w:spacing w:val="10"/>
      <w:w w:val="95"/>
      <w:kern w:val="0"/>
      <w:sz w:val="28"/>
    </w:rPr>
  </w:style>
  <w:style w:type="paragraph" w:customStyle="1" w:styleId="581">
    <w:name w:val="CM3"/>
    <w:basedOn w:val="248"/>
    <w:next w:val="248"/>
    <w:autoRedefine/>
    <w:qFormat/>
    <w:uiPriority w:val="0"/>
    <w:pPr>
      <w:spacing w:line="480" w:lineRule="atLeast"/>
    </w:pPr>
    <w:rPr>
      <w:rFonts w:ascii="Times New Roman" w:cs="Times New Roman"/>
      <w:color w:val="auto"/>
    </w:rPr>
  </w:style>
  <w:style w:type="paragraph" w:customStyle="1" w:styleId="582">
    <w:name w:val="列表段落1"/>
    <w:basedOn w:val="1"/>
    <w:autoRedefine/>
    <w:qFormat/>
    <w:uiPriority w:val="34"/>
    <w:pPr>
      <w:ind w:firstLine="420" w:firstLineChars="200"/>
    </w:pPr>
  </w:style>
  <w:style w:type="paragraph" w:customStyle="1" w:styleId="583">
    <w:name w:val="正文 样式"/>
    <w:basedOn w:val="1"/>
    <w:autoRedefine/>
    <w:qFormat/>
    <w:uiPriority w:val="0"/>
    <w:pPr>
      <w:spacing w:line="360" w:lineRule="auto"/>
      <w:ind w:left="1080" w:leftChars="450" w:firstLine="540" w:firstLineChars="225"/>
    </w:pPr>
    <w:rPr>
      <w:sz w:val="24"/>
      <w:szCs w:val="20"/>
    </w:rPr>
  </w:style>
  <w:style w:type="paragraph" w:customStyle="1" w:styleId="584">
    <w:name w:val="列项——"/>
    <w:autoRedefine/>
    <w:qFormat/>
    <w:uiPriority w:val="0"/>
    <w:pPr>
      <w:widowControl w:val="0"/>
      <w:tabs>
        <w:tab w:val="left" w:pos="1140"/>
        <w:tab w:val="left" w:pos="2040"/>
      </w:tabs>
      <w:ind w:left="2040" w:hanging="360"/>
      <w:jc w:val="both"/>
    </w:pPr>
    <w:rPr>
      <w:rFonts w:ascii="宋体" w:hAnsi="Bodoni MT" w:eastAsia="宋体" w:cs="Times New Roman"/>
      <w:sz w:val="21"/>
      <w:lang w:val="en-US" w:eastAsia="zh-CN" w:bidi="ar-SA"/>
    </w:rPr>
  </w:style>
  <w:style w:type="paragraph" w:customStyle="1" w:styleId="585">
    <w:name w:val="TITLE2"/>
    <w:basedOn w:val="347"/>
    <w:next w:val="1"/>
    <w:autoRedefine/>
    <w:qFormat/>
    <w:uiPriority w:val="0"/>
    <w:rPr>
      <w:caps/>
      <w:u w:val="single"/>
    </w:rPr>
  </w:style>
  <w:style w:type="paragraph" w:customStyle="1" w:styleId="586">
    <w:name w:val="Char Char Char Char Char Char Char1"/>
    <w:basedOn w:val="1"/>
    <w:autoRedefine/>
    <w:qFormat/>
    <w:uiPriority w:val="0"/>
    <w:rPr>
      <w:szCs w:val="20"/>
    </w:rPr>
  </w:style>
  <w:style w:type="paragraph" w:customStyle="1" w:styleId="587">
    <w:name w:val="Char Char Char Char1"/>
    <w:basedOn w:val="1"/>
    <w:autoRedefine/>
    <w:qFormat/>
    <w:uiPriority w:val="0"/>
    <w:rPr>
      <w:rFonts w:ascii="Tahoma" w:hAnsi="Tahoma"/>
      <w:sz w:val="24"/>
      <w:szCs w:val="20"/>
    </w:rPr>
  </w:style>
  <w:style w:type="paragraph" w:customStyle="1" w:styleId="588">
    <w:name w:val="图号"/>
    <w:basedOn w:val="1"/>
    <w:autoRedefine/>
    <w:qFormat/>
    <w:uiPriority w:val="0"/>
    <w:pPr>
      <w:spacing w:before="105" w:line="360" w:lineRule="auto"/>
      <w:jc w:val="center"/>
    </w:pPr>
    <w:rPr>
      <w:rFonts w:ascii="Arial" w:hAnsi="Arial"/>
      <w:sz w:val="18"/>
      <w:szCs w:val="18"/>
    </w:rPr>
  </w:style>
  <w:style w:type="paragraph" w:customStyle="1" w:styleId="589">
    <w:name w:val="Figure"/>
    <w:basedOn w:val="1"/>
    <w:next w:val="1"/>
    <w:autoRedefine/>
    <w:qFormat/>
    <w:uiPriority w:val="0"/>
    <w:pPr>
      <w:tabs>
        <w:tab w:val="left" w:pos="794"/>
        <w:tab w:val="left" w:pos="1191"/>
        <w:tab w:val="left" w:pos="1588"/>
        <w:tab w:val="left" w:pos="1985"/>
      </w:tabs>
      <w:autoSpaceDE w:val="0"/>
      <w:autoSpaceDN w:val="0"/>
      <w:adjustRightInd w:val="0"/>
      <w:spacing w:before="240" w:after="480" w:line="360" w:lineRule="auto"/>
      <w:ind w:firstLine="459"/>
      <w:jc w:val="center"/>
      <w:textAlignment w:val="baseline"/>
    </w:pPr>
    <w:rPr>
      <w:rFonts w:ascii="宋体" w:hAnsi="Tms Rmn"/>
      <w:spacing w:val="10"/>
      <w:kern w:val="0"/>
      <w:sz w:val="20"/>
      <w:szCs w:val="20"/>
    </w:rPr>
  </w:style>
  <w:style w:type="paragraph" w:customStyle="1" w:styleId="590">
    <w:name w:val="末级"/>
    <w:basedOn w:val="1"/>
    <w:autoRedefine/>
    <w:qFormat/>
    <w:uiPriority w:val="0"/>
    <w:pPr>
      <w:tabs>
        <w:tab w:val="left" w:pos="1620"/>
      </w:tabs>
      <w:spacing w:line="360" w:lineRule="auto"/>
      <w:ind w:left="1620" w:hanging="420"/>
    </w:pPr>
    <w:rPr>
      <w:sz w:val="24"/>
    </w:rPr>
  </w:style>
  <w:style w:type="paragraph" w:customStyle="1" w:styleId="591">
    <w:name w:val="标题1"/>
    <w:next w:val="1"/>
    <w:autoRedefine/>
    <w:qFormat/>
    <w:uiPriority w:val="0"/>
    <w:pPr>
      <w:keepNext/>
      <w:pageBreakBefore/>
      <w:tabs>
        <w:tab w:val="left" w:pos="720"/>
      </w:tabs>
      <w:snapToGrid w:val="0"/>
      <w:spacing w:line="480" w:lineRule="auto"/>
      <w:ind w:left="720" w:hanging="720"/>
      <w:jc w:val="center"/>
      <w:outlineLvl w:val="0"/>
    </w:pPr>
    <w:rPr>
      <w:rFonts w:ascii="黑体" w:hAnsi="Times New Roman" w:eastAsia="黑体" w:cs="Times New Roman"/>
      <w:b/>
      <w:kern w:val="2"/>
      <w:sz w:val="36"/>
      <w:szCs w:val="36"/>
      <w:lang w:val="en-US" w:eastAsia="zh-CN" w:bidi="ar-SA"/>
    </w:rPr>
  </w:style>
  <w:style w:type="paragraph" w:customStyle="1" w:styleId="592">
    <w:name w:val="Char4 Char Char Char"/>
    <w:basedOn w:val="1"/>
    <w:autoRedefine/>
    <w:qFormat/>
    <w:uiPriority w:val="0"/>
    <w:pPr>
      <w:adjustRightInd w:val="0"/>
      <w:snapToGrid w:val="0"/>
      <w:spacing w:line="360" w:lineRule="auto"/>
      <w:ind w:firstLine="200" w:firstLineChars="200"/>
    </w:pPr>
    <w:rPr>
      <w:rFonts w:ascii="宋体" w:hAnsi="宋体" w:cs="宋体"/>
      <w:sz w:val="24"/>
      <w:szCs w:val="26"/>
    </w:rPr>
  </w:style>
  <w:style w:type="paragraph" w:customStyle="1" w:styleId="593">
    <w:name w:val="List Number First"/>
    <w:basedOn w:val="18"/>
    <w:next w:val="18"/>
    <w:autoRedefine/>
    <w:qFormat/>
    <w:uiPriority w:val="0"/>
    <w:pPr>
      <w:widowControl/>
      <w:numPr>
        <w:ilvl w:val="0"/>
        <w:numId w:val="0"/>
      </w:numPr>
      <w:spacing w:before="80" w:after="160" w:line="240" w:lineRule="auto"/>
      <w:ind w:left="720" w:right="274" w:hanging="360"/>
    </w:pPr>
    <w:rPr>
      <w:rFonts w:ascii="Univers" w:hAnsi="Univers" w:eastAsia="MS Mincho"/>
      <w:spacing w:val="0"/>
      <w:kern w:val="0"/>
      <w:sz w:val="22"/>
      <w:lang w:val="en-GB" w:eastAsia="ja-JP"/>
    </w:rPr>
  </w:style>
  <w:style w:type="paragraph" w:customStyle="1" w:styleId="594">
    <w:name w:val="正表格内容"/>
    <w:basedOn w:val="1"/>
    <w:autoRedefine/>
    <w:qFormat/>
    <w:uiPriority w:val="0"/>
    <w:pPr>
      <w:widowControl/>
      <w:tabs>
        <w:tab w:val="left" w:pos="480"/>
      </w:tabs>
      <w:autoSpaceDE w:val="0"/>
      <w:autoSpaceDN w:val="0"/>
      <w:adjustRightInd w:val="0"/>
      <w:spacing w:line="360" w:lineRule="auto"/>
      <w:ind w:firstLine="459"/>
      <w:jc w:val="center"/>
      <w:textAlignment w:val="bottom"/>
    </w:pPr>
    <w:rPr>
      <w:spacing w:val="10"/>
      <w:kern w:val="0"/>
      <w:sz w:val="18"/>
      <w:szCs w:val="20"/>
    </w:rPr>
  </w:style>
  <w:style w:type="paragraph" w:customStyle="1" w:styleId="595">
    <w:name w:val="TAL"/>
    <w:basedOn w:val="574"/>
    <w:autoRedefine/>
    <w:qFormat/>
    <w:uiPriority w:val="0"/>
    <w:pPr>
      <w:jc w:val="left"/>
    </w:pPr>
  </w:style>
  <w:style w:type="paragraph" w:customStyle="1" w:styleId="596">
    <w:name w:val="Caption Box Heading"/>
    <w:basedOn w:val="508"/>
    <w:autoRedefine/>
    <w:qFormat/>
    <w:uiPriority w:val="0"/>
    <w:pPr>
      <w:pBdr>
        <w:top w:val="single" w:color="auto" w:sz="6" w:space="1"/>
        <w:left w:val="single" w:color="auto" w:sz="6" w:space="1"/>
        <w:bottom w:val="single" w:color="auto" w:sz="6" w:space="1"/>
        <w:right w:val="single" w:color="auto" w:sz="6" w:space="1"/>
      </w:pBdr>
      <w:shd w:val="pct20" w:color="auto" w:fill="auto"/>
      <w:spacing w:before="0"/>
      <w:ind w:left="0" w:firstLine="0"/>
      <w:jc w:val="center"/>
    </w:pPr>
    <w:rPr>
      <w:rFonts w:ascii="Arial Narrow" w:hAnsi="Arial Narrow"/>
      <w:sz w:val="15"/>
    </w:rPr>
  </w:style>
  <w:style w:type="paragraph" w:customStyle="1" w:styleId="597">
    <w:name w:val="样式 正文缩进 + 首行缩进:  2 字符"/>
    <w:basedOn w:val="10"/>
    <w:autoRedefine/>
    <w:qFormat/>
    <w:uiPriority w:val="0"/>
    <w:pPr>
      <w:tabs>
        <w:tab w:val="right" w:pos="8640"/>
      </w:tabs>
      <w:spacing w:line="360" w:lineRule="auto"/>
      <w:ind w:firstLine="560"/>
    </w:pPr>
    <w:rPr>
      <w:b w:val="0"/>
      <w:bCs w:val="0"/>
      <w:sz w:val="28"/>
      <w:szCs w:val="28"/>
    </w:rPr>
  </w:style>
  <w:style w:type="paragraph" w:customStyle="1" w:styleId="598">
    <w:name w:val="样式 标题 2控制中心-1.1编号标题2标题 1.12 headlinehheadlineS&amp;R2ERMH2h..."/>
    <w:basedOn w:val="3"/>
    <w:autoRedefine/>
    <w:qFormat/>
    <w:uiPriority w:val="0"/>
    <w:pPr>
      <w:snapToGrid w:val="0"/>
      <w:spacing w:before="100" w:after="156" w:line="415" w:lineRule="auto"/>
      <w:jc w:val="left"/>
    </w:pPr>
    <w:rPr>
      <w:rFonts w:cs="宋体"/>
      <w:sz w:val="28"/>
      <w:szCs w:val="20"/>
    </w:rPr>
  </w:style>
  <w:style w:type="paragraph" w:customStyle="1" w:styleId="599">
    <w:name w:val="List First"/>
    <w:basedOn w:val="13"/>
    <w:next w:val="13"/>
    <w:autoRedefine/>
    <w:qFormat/>
    <w:uiPriority w:val="0"/>
    <w:pPr>
      <w:widowControl/>
      <w:tabs>
        <w:tab w:val="left" w:pos="720"/>
      </w:tabs>
      <w:spacing w:before="80" w:after="80"/>
      <w:ind w:left="720" w:right="274" w:hanging="360" w:firstLineChars="0"/>
    </w:pPr>
    <w:rPr>
      <w:rFonts w:ascii="Univers" w:hAnsi="Univers" w:eastAsia="MS Mincho"/>
      <w:kern w:val="0"/>
      <w:sz w:val="22"/>
      <w:szCs w:val="20"/>
      <w:lang w:val="en-GB" w:eastAsia="ja-JP"/>
    </w:rPr>
  </w:style>
  <w:style w:type="paragraph" w:customStyle="1" w:styleId="600">
    <w:name w:val="ZA"/>
    <w:autoRedefine/>
    <w:qFormat/>
    <w:uiPriority w:val="0"/>
    <w:pPr>
      <w:widowControl w:val="0"/>
      <w:tabs>
        <w:tab w:val="left" w:pos="108"/>
        <w:tab w:val="left" w:pos="6464"/>
        <w:tab w:val="left" w:pos="6804"/>
      </w:tabs>
      <w:spacing w:line="480" w:lineRule="exact"/>
    </w:pPr>
    <w:rPr>
      <w:rFonts w:ascii="Arial" w:hAnsi="Arial" w:eastAsia="MS Mincho" w:cs="Times New Roman"/>
      <w:snapToGrid w:val="0"/>
      <w:lang w:val="en-GB" w:eastAsia="en-US" w:bidi="ar-SA"/>
    </w:rPr>
  </w:style>
  <w:style w:type="paragraph" w:customStyle="1" w:styleId="601">
    <w:name w:val="正文1级编号"/>
    <w:basedOn w:val="29"/>
    <w:autoRedefine/>
    <w:qFormat/>
    <w:uiPriority w:val="0"/>
    <w:pPr>
      <w:keepNext/>
      <w:widowControl/>
      <w:suppressLineNumbers/>
      <w:tabs>
        <w:tab w:val="left" w:pos="900"/>
      </w:tabs>
      <w:suppressAutoHyphens/>
      <w:adjustRightInd w:val="0"/>
      <w:snapToGrid w:val="0"/>
      <w:spacing w:before="120" w:after="0" w:line="360" w:lineRule="exact"/>
      <w:ind w:left="900" w:hanging="420"/>
      <w:jc w:val="left"/>
    </w:pPr>
    <w:rPr>
      <w:kern w:val="0"/>
      <w:sz w:val="24"/>
      <w:szCs w:val="20"/>
    </w:rPr>
  </w:style>
  <w:style w:type="paragraph" w:customStyle="1" w:styleId="602">
    <w:name w:val="Char Char Char"/>
    <w:basedOn w:val="1"/>
    <w:autoRedefine/>
    <w:qFormat/>
    <w:uiPriority w:val="0"/>
    <w:rPr>
      <w:szCs w:val="20"/>
    </w:rPr>
  </w:style>
  <w:style w:type="paragraph" w:customStyle="1" w:styleId="603">
    <w:name w:val="TxBr_p44"/>
    <w:basedOn w:val="1"/>
    <w:autoRedefine/>
    <w:qFormat/>
    <w:uiPriority w:val="0"/>
    <w:pPr>
      <w:tabs>
        <w:tab w:val="left" w:pos="3197"/>
      </w:tabs>
      <w:spacing w:line="413" w:lineRule="atLeast"/>
      <w:ind w:left="1933"/>
    </w:pPr>
    <w:rPr>
      <w:snapToGrid w:val="0"/>
      <w:kern w:val="0"/>
      <w:sz w:val="24"/>
      <w:szCs w:val="20"/>
      <w:lang w:val="en-GB" w:eastAsia="en-US"/>
    </w:rPr>
  </w:style>
  <w:style w:type="paragraph" w:customStyle="1" w:styleId="604">
    <w:name w:val="Table_Legend"/>
    <w:basedOn w:val="1"/>
    <w:next w:val="1"/>
    <w:autoRedefine/>
    <w:qFormat/>
    <w:uiPriority w:val="0"/>
    <w:pPr>
      <w:keepNext/>
      <w:tabs>
        <w:tab w:val="left" w:pos="454"/>
      </w:tabs>
      <w:autoSpaceDE w:val="0"/>
      <w:autoSpaceDN w:val="0"/>
      <w:adjustRightInd w:val="0"/>
      <w:spacing w:before="86" w:line="199" w:lineRule="exact"/>
      <w:ind w:firstLine="459"/>
      <w:textAlignment w:val="baseline"/>
    </w:pPr>
    <w:rPr>
      <w:spacing w:val="10"/>
      <w:kern w:val="0"/>
      <w:sz w:val="18"/>
      <w:szCs w:val="20"/>
    </w:rPr>
  </w:style>
  <w:style w:type="paragraph" w:customStyle="1" w:styleId="605">
    <w:name w:val="Footnote Base"/>
    <w:basedOn w:val="1"/>
    <w:autoRedefine/>
    <w:qFormat/>
    <w:uiPriority w:val="0"/>
    <w:pPr>
      <w:widowControl/>
      <w:tabs>
        <w:tab w:val="left" w:pos="187"/>
      </w:tabs>
      <w:spacing w:line="220" w:lineRule="exact"/>
      <w:ind w:left="187" w:hanging="187"/>
      <w:jc w:val="left"/>
    </w:pPr>
    <w:rPr>
      <w:rFonts w:ascii="Arial" w:hAnsi="Arial" w:eastAsia="MS Mincho"/>
      <w:kern w:val="0"/>
      <w:sz w:val="18"/>
      <w:szCs w:val="20"/>
      <w:lang w:val="en-GB" w:eastAsia="ja-JP"/>
    </w:rPr>
  </w:style>
  <w:style w:type="paragraph" w:customStyle="1" w:styleId="606">
    <w:name w:val="技标3"/>
    <w:basedOn w:val="3"/>
    <w:autoRedefine/>
    <w:qFormat/>
    <w:uiPriority w:val="0"/>
    <w:pPr>
      <w:keepNext w:val="0"/>
      <w:keepLines w:val="0"/>
      <w:adjustRightInd w:val="0"/>
      <w:snapToGrid w:val="0"/>
      <w:spacing w:before="360" w:after="240" w:line="420" w:lineRule="atLeast"/>
      <w:jc w:val="left"/>
      <w:textAlignment w:val="baseline"/>
    </w:pPr>
    <w:rPr>
      <w:rFonts w:ascii="Times New Roman" w:hAnsi="Times New Roman" w:eastAsia="仿宋_GB2312"/>
      <w:bCs w:val="0"/>
      <w:kern w:val="0"/>
      <w:sz w:val="24"/>
      <w:szCs w:val="20"/>
    </w:rPr>
  </w:style>
  <w:style w:type="paragraph" w:customStyle="1" w:styleId="607">
    <w:name w:val="Char Char Char Char Char Char Char Char Char Char Char Char Char Char"/>
    <w:basedOn w:val="1"/>
    <w:autoRedefine/>
    <w:qFormat/>
    <w:uiPriority w:val="0"/>
    <w:pPr>
      <w:spacing w:line="360" w:lineRule="auto"/>
      <w:ind w:firstLine="200" w:firstLineChars="200"/>
    </w:pPr>
    <w:rPr>
      <w:rFonts w:ascii="宋体" w:hAnsi="宋体" w:cs="宋体"/>
      <w:sz w:val="24"/>
    </w:rPr>
  </w:style>
  <w:style w:type="paragraph" w:customStyle="1" w:styleId="608">
    <w:name w:val="Appendix Index"/>
    <w:basedOn w:val="1"/>
    <w:autoRedefine/>
    <w:qFormat/>
    <w:uiPriority w:val="0"/>
    <w:pPr>
      <w:tabs>
        <w:tab w:val="left" w:pos="432"/>
      </w:tabs>
      <w:ind w:left="432" w:hanging="432"/>
      <w:jc w:val="left"/>
    </w:pPr>
    <w:rPr>
      <w:rFonts w:eastAsia="PMingLiU"/>
      <w:snapToGrid w:val="0"/>
      <w:kern w:val="0"/>
      <w:sz w:val="24"/>
      <w:lang w:val="en-AU"/>
    </w:rPr>
  </w:style>
  <w:style w:type="paragraph" w:customStyle="1" w:styleId="609">
    <w:name w:val="Picture"/>
    <w:basedOn w:val="29"/>
    <w:next w:val="19"/>
    <w:autoRedefine/>
    <w:qFormat/>
    <w:uiPriority w:val="0"/>
    <w:pPr>
      <w:keepNext/>
      <w:widowControl/>
      <w:spacing w:before="120"/>
      <w:ind w:left="1800" w:right="274"/>
    </w:pPr>
    <w:rPr>
      <w:rFonts w:ascii="Univers" w:hAnsi="Univers" w:eastAsia="MS Mincho"/>
      <w:kern w:val="0"/>
      <w:sz w:val="22"/>
      <w:szCs w:val="20"/>
      <w:lang w:val="en-GB" w:eastAsia="ja-JP"/>
    </w:rPr>
  </w:style>
  <w:style w:type="paragraph" w:customStyle="1" w:styleId="610">
    <w:name w:val="TxBr_c4"/>
    <w:basedOn w:val="1"/>
    <w:autoRedefine/>
    <w:qFormat/>
    <w:uiPriority w:val="0"/>
    <w:pPr>
      <w:spacing w:line="240" w:lineRule="atLeast"/>
      <w:jc w:val="center"/>
    </w:pPr>
    <w:rPr>
      <w:snapToGrid w:val="0"/>
      <w:kern w:val="0"/>
      <w:sz w:val="24"/>
      <w:szCs w:val="20"/>
      <w:lang w:val="en-GB" w:eastAsia="en-US"/>
    </w:rPr>
  </w:style>
  <w:style w:type="paragraph" w:customStyle="1" w:styleId="611">
    <w:name w:val="样式 标题 2 + Times New Roman 四号 非加粗 段前: 5 磅 段后: 0 磅 行距: 固定值 20..."/>
    <w:basedOn w:val="3"/>
    <w:autoRedefine/>
    <w:qFormat/>
    <w:uiPriority w:val="0"/>
    <w:pPr>
      <w:tabs>
        <w:tab w:val="left" w:pos="708"/>
      </w:tabs>
      <w:snapToGrid w:val="0"/>
      <w:spacing w:before="100" w:after="156" w:line="400" w:lineRule="exact"/>
      <w:jc w:val="left"/>
    </w:pPr>
    <w:rPr>
      <w:rFonts w:ascii="Times New Roman" w:hAnsi="Times New Roman" w:cs="宋体"/>
      <w:b w:val="0"/>
      <w:bCs w:val="0"/>
      <w:sz w:val="28"/>
      <w:szCs w:val="20"/>
    </w:rPr>
  </w:style>
  <w:style w:type="paragraph" w:customStyle="1" w:styleId="612">
    <w:name w:val="Indent 2"/>
    <w:basedOn w:val="1"/>
    <w:autoRedefine/>
    <w:qFormat/>
    <w:uiPriority w:val="0"/>
    <w:pPr>
      <w:widowControl/>
      <w:tabs>
        <w:tab w:val="left" w:pos="284"/>
      </w:tabs>
      <w:ind w:left="1134" w:hanging="567"/>
    </w:pPr>
    <w:rPr>
      <w:kern w:val="0"/>
      <w:sz w:val="20"/>
      <w:szCs w:val="20"/>
      <w:lang w:val="en-GB" w:eastAsia="en-US"/>
    </w:rPr>
  </w:style>
  <w:style w:type="paragraph" w:customStyle="1" w:styleId="613">
    <w:name w:val="默认段落字体 Para Char Char Char Char"/>
    <w:basedOn w:val="1"/>
    <w:autoRedefine/>
    <w:qFormat/>
    <w:uiPriority w:val="0"/>
  </w:style>
  <w:style w:type="paragraph" w:customStyle="1" w:styleId="614">
    <w:name w:val="_Style 11"/>
    <w:basedOn w:val="5"/>
    <w:autoRedefine/>
    <w:qFormat/>
    <w:uiPriority w:val="0"/>
    <w:pPr>
      <w:widowControl/>
      <w:spacing w:before="140" w:line="220" w:lineRule="atLeast"/>
      <w:ind w:left="720"/>
      <w:jc w:val="left"/>
    </w:pPr>
    <w:rPr>
      <w:rFonts w:ascii="Futura Bk BT" w:hAnsi="Futura Bk BT" w:eastAsia="Times New Roman"/>
      <w:b w:val="0"/>
      <w:bCs w:val="0"/>
      <w:spacing w:val="-4"/>
      <w:kern w:val="28"/>
      <w:sz w:val="21"/>
      <w:szCs w:val="20"/>
      <w:lang w:val="en-AU" w:eastAsia="en-US"/>
    </w:rPr>
  </w:style>
  <w:style w:type="paragraph" w:customStyle="1" w:styleId="615">
    <w:name w:val="(1)"/>
    <w:basedOn w:val="1"/>
    <w:autoRedefine/>
    <w:qFormat/>
    <w:uiPriority w:val="0"/>
    <w:pPr>
      <w:tabs>
        <w:tab w:val="left" w:pos="573"/>
      </w:tabs>
      <w:adjustRightInd w:val="0"/>
      <w:snapToGrid w:val="0"/>
      <w:spacing w:before="80" w:after="100" w:line="240" w:lineRule="atLeast"/>
      <w:textAlignment w:val="baseline"/>
    </w:pPr>
    <w:rPr>
      <w:rFonts w:ascii="Arial" w:hAnsi="Arial"/>
      <w:kern w:val="44"/>
      <w:sz w:val="24"/>
    </w:rPr>
  </w:style>
  <w:style w:type="paragraph" w:customStyle="1" w:styleId="616">
    <w:name w:val="简单回函地址"/>
    <w:basedOn w:val="1"/>
    <w:autoRedefine/>
    <w:qFormat/>
    <w:uiPriority w:val="0"/>
    <w:rPr>
      <w:szCs w:val="20"/>
    </w:rPr>
  </w:style>
  <w:style w:type="paragraph" w:customStyle="1" w:styleId="617">
    <w:name w:val="Report Text"/>
    <w:basedOn w:val="1"/>
    <w:autoRedefine/>
    <w:qFormat/>
    <w:uiPriority w:val="0"/>
    <w:pPr>
      <w:widowControl/>
      <w:spacing w:after="138"/>
      <w:ind w:left="1080"/>
      <w:jc w:val="left"/>
    </w:pPr>
    <w:rPr>
      <w:kern w:val="0"/>
      <w:sz w:val="22"/>
      <w:szCs w:val="20"/>
      <w:lang w:val="en-GB" w:eastAsia="en-US"/>
    </w:rPr>
  </w:style>
  <w:style w:type="paragraph" w:customStyle="1" w:styleId="618">
    <w:name w:val="编号3"/>
    <w:basedOn w:val="1"/>
    <w:autoRedefine/>
    <w:qFormat/>
    <w:uiPriority w:val="0"/>
    <w:pPr>
      <w:tabs>
        <w:tab w:val="left" w:pos="360"/>
      </w:tabs>
      <w:spacing w:line="360" w:lineRule="auto"/>
      <w:ind w:left="284" w:hanging="284"/>
    </w:pPr>
    <w:rPr>
      <w:sz w:val="24"/>
    </w:rPr>
  </w:style>
  <w:style w:type="paragraph" w:customStyle="1" w:styleId="619">
    <w:name w:val="封面标题"/>
    <w:autoRedefine/>
    <w:qFormat/>
    <w:uiPriority w:val="0"/>
    <w:pPr>
      <w:spacing w:line="360" w:lineRule="auto"/>
      <w:jc w:val="center"/>
    </w:pPr>
    <w:rPr>
      <w:rFonts w:ascii="Times New Roman" w:hAnsi="Times New Roman" w:eastAsia="宋体" w:cs="Times New Roman"/>
      <w:b/>
      <w:color w:val="000000"/>
      <w:sz w:val="44"/>
      <w:lang w:val="en-US" w:eastAsia="zh-CN" w:bidi="ar-SA"/>
    </w:rPr>
  </w:style>
  <w:style w:type="paragraph" w:customStyle="1" w:styleId="620">
    <w:name w:val="默认段落字体 Para Char"/>
    <w:basedOn w:val="1"/>
    <w:autoRedefine/>
    <w:semiHidden/>
    <w:qFormat/>
    <w:uiPriority w:val="0"/>
    <w:rPr>
      <w:rFonts w:cs="Arial"/>
    </w:rPr>
  </w:style>
  <w:style w:type="paragraph" w:customStyle="1" w:styleId="621">
    <w:name w:val="Normal 1"/>
    <w:basedOn w:val="1"/>
    <w:autoRedefine/>
    <w:qFormat/>
    <w:uiPriority w:val="0"/>
    <w:pPr>
      <w:widowControl/>
      <w:spacing w:line="240" w:lineRule="exact"/>
      <w:jc w:val="left"/>
    </w:pPr>
    <w:rPr>
      <w:rFonts w:ascii="DIN-Regular" w:hAnsi="DIN-Regular"/>
      <w:kern w:val="0"/>
      <w:sz w:val="20"/>
      <w:szCs w:val="20"/>
      <w:lang w:eastAsia="en-US"/>
    </w:rPr>
  </w:style>
  <w:style w:type="paragraph" w:customStyle="1" w:styleId="622">
    <w:name w:val="目录2"/>
    <w:basedOn w:val="1"/>
    <w:autoRedefine/>
    <w:qFormat/>
    <w:uiPriority w:val="0"/>
    <w:pPr>
      <w:adjustRightInd w:val="0"/>
      <w:spacing w:line="420" w:lineRule="atLeast"/>
      <w:ind w:left="227"/>
      <w:textAlignment w:val="baseline"/>
    </w:pPr>
    <w:rPr>
      <w:kern w:val="0"/>
      <w:szCs w:val="20"/>
    </w:rPr>
  </w:style>
  <w:style w:type="paragraph" w:customStyle="1" w:styleId="623">
    <w:name w:val="TxBr_p9"/>
    <w:basedOn w:val="1"/>
    <w:autoRedefine/>
    <w:qFormat/>
    <w:uiPriority w:val="0"/>
    <w:pPr>
      <w:spacing w:line="413" w:lineRule="atLeast"/>
      <w:ind w:left="493"/>
      <w:jc w:val="left"/>
    </w:pPr>
    <w:rPr>
      <w:kern w:val="0"/>
      <w:sz w:val="24"/>
      <w:lang w:eastAsia="en-US"/>
    </w:rPr>
  </w:style>
  <w:style w:type="table" w:customStyle="1" w:styleId="624">
    <w:name w:val="普通表格3"/>
    <w:autoRedefine/>
    <w:semiHidden/>
    <w:qFormat/>
    <w:uiPriority w:val="0"/>
    <w:rPr>
      <w:rFonts w:ascii="宋体"/>
    </w:rPr>
    <w:tblPr>
      <w:tblCellMar>
        <w:top w:w="0" w:type="dxa"/>
        <w:left w:w="108" w:type="dxa"/>
        <w:bottom w:w="0" w:type="dxa"/>
        <w:right w:w="108" w:type="dxa"/>
      </w:tblCellMar>
    </w:tblPr>
  </w:style>
  <w:style w:type="table" w:customStyle="1" w:styleId="625">
    <w:name w:val="普通表格2"/>
    <w:autoRedefine/>
    <w:semiHidden/>
    <w:qFormat/>
    <w:uiPriority w:val="0"/>
    <w:rPr>
      <w:rFonts w:ascii="宋体"/>
    </w:rPr>
    <w:tblPr>
      <w:tblCellMar>
        <w:top w:w="0" w:type="dxa"/>
        <w:left w:w="108" w:type="dxa"/>
        <w:bottom w:w="0" w:type="dxa"/>
        <w:right w:w="108" w:type="dxa"/>
      </w:tblCellMar>
    </w:tblPr>
  </w:style>
  <w:style w:type="table" w:customStyle="1" w:styleId="626">
    <w:name w:val="普通表格1"/>
    <w:autoRedefine/>
    <w:semiHidden/>
    <w:qFormat/>
    <w:uiPriority w:val="0"/>
    <w:rPr>
      <w:rFonts w:ascii="宋体"/>
    </w:rPr>
    <w:tblPr>
      <w:tblCellMar>
        <w:top w:w="0" w:type="dxa"/>
        <w:left w:w="108" w:type="dxa"/>
        <w:bottom w:w="0" w:type="dxa"/>
        <w:right w:w="108" w:type="dxa"/>
      </w:tblCellMar>
    </w:tblPr>
  </w:style>
  <w:style w:type="table" w:customStyle="1" w:styleId="627">
    <w:name w:val="Table"/>
    <w:basedOn w:val="76"/>
    <w:autoRedefine/>
    <w:qFormat/>
    <w:uiPriority w:val="0"/>
    <w:pPr>
      <w:widowControl w:val="0"/>
      <w:snapToGrid w:val="0"/>
    </w:pPr>
    <w:tblPr/>
    <w:trPr>
      <w:cantSplit/>
    </w:trPr>
    <w:tcPr>
      <w:vAlign w:val="center"/>
    </w:tcPr>
    <w:tblStylePr w:type="firstRow">
      <w:pPr>
        <w:wordWrap/>
        <w:ind w:left="0" w:leftChars="0"/>
      </w:p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table" w:customStyle="1" w:styleId="628">
    <w:name w:val="正文中的表格"/>
    <w:basedOn w:val="76"/>
    <w:autoRedefine/>
    <w:qFormat/>
    <w:uiPriority w:val="0"/>
    <w:pPr>
      <w:jc w:val="both"/>
    </w:pPr>
    <w:rPr>
      <w:rFonts w:ascii="Arial" w:hAnsi="Arial" w:cs="Arial"/>
      <w:sz w:val="18"/>
      <w:szCs w:val="18"/>
    </w:rPr>
    <w:tblPr/>
    <w:trPr>
      <w:cantSplit/>
    </w:trPr>
    <w:tcPr>
      <w:vAlign w:val="center"/>
    </w:tcPr>
  </w:style>
  <w:style w:type="paragraph" w:customStyle="1" w:styleId="629">
    <w:name w:val="修订2"/>
    <w:autoRedefine/>
    <w:unhideWhenUsed/>
    <w:qFormat/>
    <w:uiPriority w:val="99"/>
    <w:rPr>
      <w:rFonts w:ascii="Times New Roman" w:hAnsi="Times New Roman" w:eastAsia="宋体" w:cs="Times New Roman"/>
      <w:kern w:val="2"/>
      <w:sz w:val="21"/>
      <w:szCs w:val="24"/>
      <w:lang w:val="en-US" w:eastAsia="zh-CN" w:bidi="ar-SA"/>
    </w:rPr>
  </w:style>
  <w:style w:type="character" w:customStyle="1" w:styleId="630">
    <w:name w:val="正文文本首行缩进 2 字符"/>
    <w:basedOn w:val="130"/>
    <w:link w:val="74"/>
    <w:autoRedefine/>
    <w:qFormat/>
    <w:uiPriority w:val="99"/>
    <w:rPr>
      <w:rFonts w:ascii="Times New Roman" w:hAnsi="Times New Roman" w:eastAsia="宋体" w:cs="Times New Roman"/>
      <w:szCs w:val="24"/>
    </w:rPr>
  </w:style>
  <w:style w:type="paragraph" w:customStyle="1" w:styleId="631">
    <w:name w:val="TOC 标题2"/>
    <w:basedOn w:val="2"/>
    <w:next w:val="1"/>
    <w:autoRedefine/>
    <w:unhideWhenUsed/>
    <w:qFormat/>
    <w:uiPriority w:val="39"/>
    <w:pPr>
      <w:keepLines/>
      <w:widowControl/>
      <w:spacing w:before="240" w:line="259" w:lineRule="auto"/>
      <w:jc w:val="left"/>
      <w:outlineLvl w:val="9"/>
    </w:pPr>
    <w:rPr>
      <w:rFonts w:asciiTheme="majorHAnsi" w:hAnsiTheme="majorHAnsi" w:eastAsiaTheme="majorEastAsia" w:cstheme="majorBidi"/>
      <w:color w:val="2F5597" w:themeColor="accent1" w:themeShade="BF"/>
      <w:kern w:val="0"/>
      <w:sz w:val="32"/>
      <w:szCs w:val="32"/>
    </w:rPr>
  </w:style>
  <w:style w:type="character" w:customStyle="1" w:styleId="632">
    <w:name w:val="标题 2 Char"/>
    <w:autoRedefine/>
    <w:qFormat/>
    <w:uiPriority w:val="0"/>
    <w:rPr>
      <w:rFonts w:ascii="Arial" w:hAnsi="Arial" w:eastAsia="黑体" w:cs="Times New Roman"/>
      <w:b/>
      <w:bCs/>
      <w:sz w:val="32"/>
      <w:szCs w:val="32"/>
    </w:rPr>
  </w:style>
  <w:style w:type="paragraph" w:customStyle="1" w:styleId="633">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634">
    <w:name w:val="无间隔1"/>
    <w:qFormat/>
    <w:uiPriority w:val="0"/>
    <w:pPr>
      <w:widowControl w:val="0"/>
      <w:snapToGrid w:val="0"/>
      <w:spacing w:line="360" w:lineRule="auto"/>
    </w:pPr>
    <w:rPr>
      <w:rFonts w:ascii="Times New Roman" w:hAnsi="Times New Roman" w:eastAsia="宋体" w:cs="Times New Roman"/>
      <w:snapToGrid w:val="0"/>
      <w:sz w:val="21"/>
      <w:szCs w:val="24"/>
      <w:lang w:val="en-US" w:eastAsia="zh-CN" w:bidi="ar-SA"/>
    </w:rPr>
  </w:style>
  <w:style w:type="character" w:customStyle="1" w:styleId="635">
    <w:name w:val="font21"/>
    <w:basedOn w:val="77"/>
    <w:qFormat/>
    <w:uiPriority w:val="0"/>
    <w:rPr>
      <w:rFonts w:hint="eastAsia" w:ascii="宋体" w:hAnsi="宋体" w:eastAsia="宋体" w:cs="宋体"/>
      <w:color w:val="000000"/>
      <w:sz w:val="21"/>
      <w:szCs w:val="21"/>
      <w:u w:val="none"/>
    </w:rPr>
  </w:style>
  <w:style w:type="character" w:customStyle="1" w:styleId="636">
    <w:name w:val="font51"/>
    <w:basedOn w:val="77"/>
    <w:qFormat/>
    <w:uiPriority w:val="0"/>
    <w:rPr>
      <w:rFonts w:hint="eastAsia" w:ascii="宋体" w:hAnsi="宋体" w:eastAsia="宋体" w:cs="宋体"/>
      <w:color w:val="000000"/>
      <w:sz w:val="21"/>
      <w:szCs w:val="21"/>
      <w:u w:val="single"/>
    </w:rPr>
  </w:style>
  <w:style w:type="character" w:customStyle="1" w:styleId="637">
    <w:name w:val="font41"/>
    <w:basedOn w:val="77"/>
    <w:qFormat/>
    <w:uiPriority w:val="0"/>
    <w:rPr>
      <w:rFonts w:hint="eastAsia" w:ascii="宋体" w:hAnsi="宋体" w:eastAsia="宋体" w:cs="宋体"/>
      <w:color w:val="000000"/>
      <w:sz w:val="21"/>
      <w:szCs w:val="21"/>
      <w:u w:val="none"/>
    </w:rPr>
  </w:style>
  <w:style w:type="character" w:customStyle="1" w:styleId="638">
    <w:name w:val="font61"/>
    <w:basedOn w:val="77"/>
    <w:qFormat/>
    <w:uiPriority w:val="0"/>
    <w:rPr>
      <w:rFonts w:hint="eastAsia" w:ascii="宋体" w:hAnsi="宋体" w:eastAsia="宋体" w:cs="宋体"/>
      <w:color w:val="000000"/>
      <w:sz w:val="21"/>
      <w:szCs w:val="21"/>
      <w:u w:val="single"/>
    </w:rPr>
  </w:style>
  <w:style w:type="paragraph" w:customStyle="1" w:styleId="639">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4" Type="http://schemas.openxmlformats.org/officeDocument/2006/relationships/fontTable" Target="fontTable.xml"/><Relationship Id="rId43" Type="http://schemas.openxmlformats.org/officeDocument/2006/relationships/numbering" Target="numbering.xml"/><Relationship Id="rId42" Type="http://schemas.openxmlformats.org/officeDocument/2006/relationships/customXml" Target="../customXml/item1.xml"/><Relationship Id="rId41" Type="http://schemas.openxmlformats.org/officeDocument/2006/relationships/image" Target="media/image1.png"/><Relationship Id="rId40" Type="http://schemas.openxmlformats.org/officeDocument/2006/relationships/theme" Target="theme/theme1.xml"/><Relationship Id="rId4" Type="http://schemas.openxmlformats.org/officeDocument/2006/relationships/footer" Target="footer1.xml"/><Relationship Id="rId39" Type="http://schemas.openxmlformats.org/officeDocument/2006/relationships/footer" Target="footer18.xml"/><Relationship Id="rId38" Type="http://schemas.openxmlformats.org/officeDocument/2006/relationships/footer" Target="footer17.xml"/><Relationship Id="rId37" Type="http://schemas.openxmlformats.org/officeDocument/2006/relationships/footer" Target="footer16.xml"/><Relationship Id="rId36" Type="http://schemas.openxmlformats.org/officeDocument/2006/relationships/header" Target="header19.xml"/><Relationship Id="rId35" Type="http://schemas.openxmlformats.org/officeDocument/2006/relationships/header" Target="header18.xml"/><Relationship Id="rId34" Type="http://schemas.openxmlformats.org/officeDocument/2006/relationships/header" Target="header17.xml"/><Relationship Id="rId33" Type="http://schemas.openxmlformats.org/officeDocument/2006/relationships/footer" Target="footer15.xml"/><Relationship Id="rId32" Type="http://schemas.openxmlformats.org/officeDocument/2006/relationships/footer" Target="footer14.xml"/><Relationship Id="rId31" Type="http://schemas.openxmlformats.org/officeDocument/2006/relationships/header" Target="header16.xml"/><Relationship Id="rId30" Type="http://schemas.openxmlformats.org/officeDocument/2006/relationships/header" Target="header15.xml"/><Relationship Id="rId3" Type="http://schemas.openxmlformats.org/officeDocument/2006/relationships/header" Target="header1.xml"/><Relationship Id="rId29" Type="http://schemas.openxmlformats.org/officeDocument/2006/relationships/header" Target="header14.xml"/><Relationship Id="rId28" Type="http://schemas.openxmlformats.org/officeDocument/2006/relationships/footer" Target="footer13.xml"/><Relationship Id="rId27" Type="http://schemas.openxmlformats.org/officeDocument/2006/relationships/footer" Target="footer12.xml"/><Relationship Id="rId26" Type="http://schemas.openxmlformats.org/officeDocument/2006/relationships/footer" Target="footer11.xml"/><Relationship Id="rId25" Type="http://schemas.openxmlformats.org/officeDocument/2006/relationships/header" Target="header13.xml"/><Relationship Id="rId24" Type="http://schemas.openxmlformats.org/officeDocument/2006/relationships/header" Target="header12.xml"/><Relationship Id="rId23" Type="http://schemas.openxmlformats.org/officeDocument/2006/relationships/header" Target="header11.xml"/><Relationship Id="rId22" Type="http://schemas.openxmlformats.org/officeDocument/2006/relationships/footer" Target="footer10.xml"/><Relationship Id="rId21" Type="http://schemas.openxmlformats.org/officeDocument/2006/relationships/footer" Target="foot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header" Target="header9.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88</Pages>
  <Words>17935</Words>
  <Characters>19555</Characters>
  <Lines>1238</Lines>
  <Paragraphs>964</Paragraphs>
  <TotalTime>4</TotalTime>
  <ScaleCrop>false</ScaleCrop>
  <LinksUpToDate>false</LinksUpToDate>
  <CharactersWithSpaces>19904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2026-05-19T13:30:00Z</dcterms:created>
  <dc:creator>sgla</dc:creator>
  <cp:lastModifiedBy>瓷娃娃</cp:lastModifiedBy>
  <cp:lastPrinted>2026-05-21T01:10:00Z</cp:lastPrinted>
  <dcterms:modified xsi:type="dcterms:W3CDTF">2026-05-21T02:57:46Z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9420E2A9CF074CF293BA0349DE702A69_13</vt:lpwstr>
  </property>
  <property fmtid="{D5CDD505-2E9C-101B-9397-08002B2CF9AE}" pid="4" name="KSOTemplateDocerSaveRecord">
    <vt:lpwstr>eyJoZGlkIjoiMTQ1MjViMTYxN2JhZGMzZmJmZDM2YTAyZDMzMjFmZjQiLCJ1c2VySWQiOiIzODY3NTk5NjgifQ==</vt:lpwstr>
  </property>
</Properties>
</file>