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8A5FA">
      <w:pPr>
        <w:pStyle w:val="2"/>
        <w:spacing w:line="560" w:lineRule="atLeast"/>
        <w:ind w:firstLine="420" w:firstLineChars="200"/>
        <w:rPr>
          <w:rFonts w:ascii="方正仿宋_GBK" w:hAnsi="方正仿宋_GBK" w:eastAsia="方正仿宋_GBK" w:cs="方正仿宋_GBK"/>
          <w:color w:val="auto"/>
          <w:highlight w:val="none"/>
        </w:rPr>
      </w:pPr>
    </w:p>
    <w:p w14:paraId="7336174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bCs/>
          <w:color w:val="auto"/>
          <w:spacing w:val="17"/>
          <w:sz w:val="44"/>
          <w:szCs w:val="44"/>
          <w:highlight w:val="none"/>
          <w:lang w:val="en-US" w:eastAsia="zh-CN"/>
        </w:rPr>
      </w:pPr>
      <w:r>
        <w:rPr>
          <w:rFonts w:hint="eastAsia" w:ascii="方正小标宋_GBK" w:hAnsi="方正小标宋_GBK" w:eastAsia="方正小标宋_GBK" w:cs="方正小标宋_GBK"/>
          <w:b/>
          <w:bCs/>
          <w:color w:val="auto"/>
          <w:spacing w:val="17"/>
          <w:sz w:val="44"/>
          <w:szCs w:val="44"/>
          <w:highlight w:val="none"/>
          <w:lang w:val="en-US" w:eastAsia="zh-CN"/>
        </w:rPr>
        <w:t>重庆理工职业学院青教楼新增监控工程</w:t>
      </w:r>
    </w:p>
    <w:p w14:paraId="346DB516">
      <w:pPr>
        <w:keepNext w:val="0"/>
        <w:keepLines w:val="0"/>
        <w:pageBreakBefore w:val="0"/>
        <w:widowControl/>
        <w:kinsoku w:val="0"/>
        <w:wordWrap/>
        <w:overflowPunct/>
        <w:topLinePunct w:val="0"/>
        <w:autoSpaceDE w:val="0"/>
        <w:autoSpaceDN w:val="0"/>
        <w:bidi w:val="0"/>
        <w:adjustRightInd w:val="0"/>
        <w:snapToGrid w:val="0"/>
        <w:spacing w:before="308" w:line="560" w:lineRule="exact"/>
        <w:jc w:val="center"/>
        <w:textAlignment w:val="baseline"/>
        <w:rPr>
          <w:rFonts w:hint="eastAsia" w:ascii="方正小标宋_GBK" w:hAnsi="方正小标宋_GBK" w:eastAsia="方正小标宋_GBK" w:cs="方正小标宋_GBK"/>
          <w:b/>
          <w:bCs/>
          <w:color w:val="auto"/>
          <w:spacing w:val="17"/>
          <w:sz w:val="44"/>
          <w:szCs w:val="44"/>
          <w:highlight w:val="none"/>
          <w:lang w:val="en-US" w:eastAsia="zh-CN"/>
        </w:rPr>
      </w:pPr>
    </w:p>
    <w:p w14:paraId="48129E26">
      <w:pPr>
        <w:keepNext w:val="0"/>
        <w:keepLines w:val="0"/>
        <w:pageBreakBefore w:val="0"/>
        <w:widowControl/>
        <w:kinsoku w:val="0"/>
        <w:wordWrap/>
        <w:overflowPunct/>
        <w:topLinePunct w:val="0"/>
        <w:autoSpaceDE w:val="0"/>
        <w:autoSpaceDN w:val="0"/>
        <w:bidi w:val="0"/>
        <w:adjustRightInd w:val="0"/>
        <w:snapToGrid w:val="0"/>
        <w:spacing w:before="308" w:line="560" w:lineRule="exact"/>
        <w:jc w:val="center"/>
        <w:textAlignment w:val="baseline"/>
        <w:rPr>
          <w:rFonts w:hint="eastAsia" w:ascii="方正小标宋_GBK" w:hAnsi="方正小标宋_GBK" w:eastAsia="方正小标宋_GBK" w:cs="方正小标宋_GBK"/>
          <w:b/>
          <w:bCs/>
          <w:color w:val="auto"/>
          <w:spacing w:val="17"/>
          <w:sz w:val="44"/>
          <w:szCs w:val="44"/>
          <w:highlight w:val="none"/>
          <w:lang w:val="en-US" w:eastAsia="zh-CN"/>
        </w:rPr>
      </w:pPr>
    </w:p>
    <w:p w14:paraId="266FC115">
      <w:pPr>
        <w:spacing w:before="308" w:line="560" w:lineRule="atLeast"/>
        <w:jc w:val="center"/>
        <w:rPr>
          <w:rFonts w:ascii="方正小标宋_GBK" w:hAnsi="方正小标宋_GBK" w:eastAsia="方正小标宋_GBK" w:cs="方正小标宋_GBK"/>
          <w:b/>
          <w:bCs/>
          <w:color w:val="auto"/>
          <w:spacing w:val="1"/>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施</w:t>
      </w:r>
    </w:p>
    <w:p w14:paraId="7F8E28A1">
      <w:pPr>
        <w:spacing w:before="308" w:line="560" w:lineRule="atLeast"/>
        <w:jc w:val="center"/>
        <w:rPr>
          <w:rFonts w:ascii="方正小标宋_GBK" w:hAnsi="方正小标宋_GBK" w:eastAsia="方正小标宋_GBK" w:cs="方正小标宋_GBK"/>
          <w:b/>
          <w:bCs/>
          <w:color w:val="auto"/>
          <w:spacing w:val="1"/>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工</w:t>
      </w:r>
    </w:p>
    <w:p w14:paraId="6D7E763E">
      <w:pPr>
        <w:spacing w:before="308" w:line="560" w:lineRule="atLeast"/>
        <w:jc w:val="center"/>
        <w:rPr>
          <w:rFonts w:ascii="方正小标宋_GBK" w:hAnsi="方正小标宋_GBK" w:eastAsia="方正小标宋_GBK" w:cs="方正小标宋_GBK"/>
          <w:b/>
          <w:bCs/>
          <w:color w:val="auto"/>
          <w:spacing w:val="1"/>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合</w:t>
      </w:r>
    </w:p>
    <w:p w14:paraId="5D86DE3A">
      <w:pPr>
        <w:spacing w:before="308" w:line="560" w:lineRule="atLeast"/>
        <w:jc w:val="center"/>
        <w:rPr>
          <w:rFonts w:ascii="方正小标宋_GBK" w:hAnsi="方正小标宋_GBK" w:eastAsia="方正小标宋_GBK" w:cs="方正小标宋_GBK"/>
          <w:color w:val="auto"/>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同</w:t>
      </w:r>
    </w:p>
    <w:p w14:paraId="49A8B528">
      <w:pPr>
        <w:pStyle w:val="2"/>
        <w:spacing w:line="560" w:lineRule="atLeast"/>
        <w:rPr>
          <w:rFonts w:ascii="方正仿宋_GBK" w:hAnsi="方正仿宋_GBK" w:eastAsia="方正仿宋_GBK" w:cs="方正仿宋_GBK"/>
          <w:color w:val="auto"/>
          <w:highlight w:val="none"/>
          <w:lang w:eastAsia="zh-CN"/>
        </w:rPr>
      </w:pPr>
    </w:p>
    <w:p w14:paraId="536F8182">
      <w:pPr>
        <w:spacing w:before="191" w:line="560" w:lineRule="atLeast"/>
        <w:jc w:val="both"/>
        <w:rPr>
          <w:rFonts w:ascii="方正小标宋_GBK" w:hAnsi="方正小标宋_GBK" w:eastAsia="方正小标宋_GBK" w:cs="方正小标宋_GBK"/>
          <w:color w:val="auto"/>
          <w:spacing w:val="70"/>
          <w:sz w:val="32"/>
          <w:szCs w:val="32"/>
          <w:highlight w:val="none"/>
          <w:lang w:eastAsia="zh-CN"/>
        </w:rPr>
      </w:pPr>
    </w:p>
    <w:p w14:paraId="36CBEB8C">
      <w:pPr>
        <w:spacing w:before="191" w:line="560" w:lineRule="atLeast"/>
        <w:jc w:val="both"/>
        <w:rPr>
          <w:rFonts w:ascii="方正小标宋_GBK" w:hAnsi="方正小标宋_GBK" w:eastAsia="方正小标宋_GBK" w:cs="方正小标宋_GBK"/>
          <w:color w:val="auto"/>
          <w:spacing w:val="70"/>
          <w:sz w:val="32"/>
          <w:szCs w:val="32"/>
          <w:highlight w:val="none"/>
          <w:lang w:eastAsia="zh-CN"/>
        </w:rPr>
      </w:pPr>
    </w:p>
    <w:p w14:paraId="224C3139">
      <w:pPr>
        <w:spacing w:before="191" w:line="560" w:lineRule="atLeast"/>
        <w:ind w:firstLine="920" w:firstLineChars="200"/>
        <w:jc w:val="both"/>
        <w:rPr>
          <w:rFonts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pacing w:val="70"/>
          <w:sz w:val="32"/>
          <w:szCs w:val="32"/>
          <w:highlight w:val="none"/>
          <w:lang w:eastAsia="zh-CN"/>
        </w:rPr>
        <w:t>发包人(甲方):重庆理工职业学院</w:t>
      </w:r>
    </w:p>
    <w:p w14:paraId="66D73709">
      <w:pPr>
        <w:spacing w:before="191" w:line="560" w:lineRule="atLeast"/>
        <w:ind w:firstLine="920" w:firstLineChars="200"/>
        <w:jc w:val="both"/>
        <w:rPr>
          <w:rFonts w:hint="default" w:ascii="方正小标宋_GBK" w:hAnsi="方正小标宋_GBK" w:eastAsia="方正小标宋_GBK" w:cs="方正小标宋_GBK"/>
          <w:color w:val="auto"/>
          <w:spacing w:val="70"/>
          <w:sz w:val="32"/>
          <w:szCs w:val="32"/>
          <w:highlight w:val="none"/>
          <w:lang w:val="en-US" w:eastAsia="zh-CN"/>
        </w:rPr>
      </w:pPr>
      <w:r>
        <w:rPr>
          <w:rFonts w:hint="eastAsia" w:ascii="方正小标宋_GBK" w:hAnsi="方正小标宋_GBK" w:eastAsia="方正小标宋_GBK" w:cs="方正小标宋_GBK"/>
          <w:color w:val="auto"/>
          <w:spacing w:val="70"/>
          <w:sz w:val="32"/>
          <w:szCs w:val="32"/>
          <w:highlight w:val="none"/>
          <w:lang w:eastAsia="zh-CN"/>
        </w:rPr>
        <w:t>承包人(乙方):</w:t>
      </w:r>
    </w:p>
    <w:p w14:paraId="48B7C9C4">
      <w:pPr>
        <w:spacing w:before="375" w:line="560" w:lineRule="atLeast"/>
        <w:jc w:val="center"/>
        <w:rPr>
          <w:rFonts w:hint="default" w:ascii="方正小标宋_GBK" w:hAnsi="方正小标宋_GBK" w:eastAsia="方正小标宋_GBK" w:cs="方正小标宋_GBK"/>
          <w:color w:val="auto"/>
          <w:spacing w:val="88"/>
          <w:sz w:val="32"/>
          <w:szCs w:val="32"/>
          <w:highlight w:val="none"/>
          <w:lang w:val="en-US" w:eastAsia="zh-CN"/>
        </w:rPr>
      </w:pPr>
      <w:r>
        <w:rPr>
          <w:rFonts w:hint="eastAsia" w:ascii="方正小标宋_GBK" w:hAnsi="方正小标宋_GBK" w:eastAsia="方正小标宋_GBK" w:cs="方正小标宋_GBK"/>
          <w:color w:val="auto"/>
          <w:spacing w:val="88"/>
          <w:sz w:val="32"/>
          <w:szCs w:val="32"/>
          <w:highlight w:val="none"/>
          <w:lang w:eastAsia="zh-CN"/>
        </w:rPr>
        <w:t>202</w:t>
      </w:r>
      <w:r>
        <w:rPr>
          <w:rFonts w:hint="eastAsia" w:ascii="方正小标宋_GBK" w:hAnsi="方正小标宋_GBK" w:eastAsia="方正小标宋_GBK" w:cs="方正小标宋_GBK"/>
          <w:color w:val="auto"/>
          <w:spacing w:val="88"/>
          <w:sz w:val="32"/>
          <w:szCs w:val="32"/>
          <w:highlight w:val="none"/>
          <w:lang w:val="en-US" w:eastAsia="zh-CN"/>
        </w:rPr>
        <w:t>6</w:t>
      </w:r>
      <w:r>
        <w:rPr>
          <w:rFonts w:hint="eastAsia" w:ascii="方正小标宋_GBK" w:hAnsi="方正小标宋_GBK" w:eastAsia="方正小标宋_GBK" w:cs="方正小标宋_GBK"/>
          <w:color w:val="auto"/>
          <w:spacing w:val="88"/>
          <w:sz w:val="32"/>
          <w:szCs w:val="32"/>
          <w:highlight w:val="none"/>
          <w:lang w:eastAsia="zh-CN"/>
        </w:rPr>
        <w:t>年</w:t>
      </w:r>
      <w:r>
        <w:rPr>
          <w:rFonts w:hint="eastAsia" w:ascii="方正小标宋_GBK" w:hAnsi="方正小标宋_GBK" w:eastAsia="方正小标宋_GBK" w:cs="方正小标宋_GBK"/>
          <w:color w:val="auto"/>
          <w:spacing w:val="88"/>
          <w:sz w:val="32"/>
          <w:szCs w:val="32"/>
          <w:highlight w:val="none"/>
          <w:lang w:val="en-US" w:eastAsia="zh-CN"/>
        </w:rPr>
        <w:t xml:space="preserve"> 月</w:t>
      </w:r>
    </w:p>
    <w:p w14:paraId="41512FBC">
      <w:pPr>
        <w:spacing w:before="375" w:line="560" w:lineRule="atLeast"/>
        <w:jc w:val="center"/>
        <w:rPr>
          <w:rFonts w:hint="eastAsia" w:ascii="方正小标宋_GBK" w:hAnsi="方正小标宋_GBK" w:eastAsia="方正小标宋_GBK" w:cs="方正小标宋_GBK"/>
          <w:color w:val="auto"/>
          <w:spacing w:val="88"/>
          <w:sz w:val="32"/>
          <w:szCs w:val="32"/>
          <w:highlight w:val="none"/>
          <w:lang w:eastAsia="zh-CN"/>
        </w:rPr>
      </w:pPr>
    </w:p>
    <w:p w14:paraId="163B36C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bCs/>
          <w:color w:val="auto"/>
          <w:spacing w:val="17"/>
          <w:sz w:val="44"/>
          <w:szCs w:val="44"/>
          <w:highlight w:val="none"/>
          <w:lang w:val="en-US" w:eastAsia="zh-CN"/>
        </w:rPr>
      </w:pPr>
      <w:r>
        <w:rPr>
          <w:rFonts w:hint="eastAsia" w:ascii="方正小标宋_GBK" w:hAnsi="方正小标宋_GBK" w:eastAsia="方正小标宋_GBK" w:cs="方正小标宋_GBK"/>
          <w:b/>
          <w:bCs/>
          <w:color w:val="auto"/>
          <w:spacing w:val="17"/>
          <w:sz w:val="44"/>
          <w:szCs w:val="44"/>
          <w:highlight w:val="none"/>
          <w:lang w:val="en-US" w:eastAsia="zh-CN"/>
        </w:rPr>
        <w:t>重庆理工职业学院青教楼新增监控工程</w:t>
      </w:r>
    </w:p>
    <w:p w14:paraId="6EB0BCDD">
      <w:pPr>
        <w:widowControl w:val="0"/>
        <w:kinsoku/>
        <w:autoSpaceDE/>
        <w:autoSpaceDN/>
        <w:adjustRightInd/>
        <w:snapToGrid/>
        <w:spacing w:line="560" w:lineRule="atLeast"/>
        <w:jc w:val="both"/>
        <w:textAlignment w:val="auto"/>
        <w:rPr>
          <w:rFonts w:hint="eastAsia" w:ascii="Times New Roman" w:hAnsi="Times New Roman" w:eastAsia="方正仿宋_GBK" w:cs="Times New Roman"/>
          <w:snapToGrid/>
          <w:color w:val="auto"/>
          <w:kern w:val="2"/>
          <w:sz w:val="32"/>
          <w:szCs w:val="32"/>
          <w:highlight w:val="none"/>
          <w:lang w:eastAsia="zh-CN"/>
        </w:rPr>
      </w:pPr>
    </w:p>
    <w:p w14:paraId="70B59CB8">
      <w:pPr>
        <w:widowControl w:val="0"/>
        <w:kinsoku/>
        <w:autoSpaceDE/>
        <w:autoSpaceDN/>
        <w:adjustRightInd/>
        <w:snapToGrid/>
        <w:spacing w:line="560" w:lineRule="atLeas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发包人(甲方):重庆理工职业学院</w:t>
      </w:r>
    </w:p>
    <w:p w14:paraId="1066CB1E">
      <w:pPr>
        <w:widowControl w:val="0"/>
        <w:kinsoku/>
        <w:autoSpaceDE/>
        <w:autoSpaceDN/>
        <w:adjustRightInd/>
        <w:snapToGrid/>
        <w:spacing w:line="560" w:lineRule="atLeast"/>
        <w:jc w:val="both"/>
        <w:textAlignment w:val="auto"/>
        <w:rPr>
          <w:rFonts w:hint="eastAsia" w:ascii="Times New Roman" w:hAnsi="Times New Roman" w:eastAsia="方正仿宋_GBK" w:cs="Times New Roman"/>
          <w:snapToGrid/>
          <w:color w:val="auto"/>
          <w:kern w:val="2"/>
          <w:sz w:val="32"/>
          <w:szCs w:val="32"/>
          <w:highlight w:val="none"/>
          <w:lang w:eastAsia="zh-CN"/>
        </w:rPr>
      </w:pPr>
    </w:p>
    <w:p w14:paraId="147B76AB">
      <w:pPr>
        <w:widowControl w:val="0"/>
        <w:kinsoku/>
        <w:autoSpaceDE/>
        <w:autoSpaceDN/>
        <w:adjustRightInd/>
        <w:snapToGrid/>
        <w:spacing w:line="560" w:lineRule="atLeas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承包人(乙方):</w:t>
      </w:r>
    </w:p>
    <w:p w14:paraId="36B629FF">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6E8C3E51">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在乙方充分考察及熟悉本合同所述甲方指定项目的工程内容及其相关特点背景的前提下，甲乙双方依照《中华人民共和国民法典》及其他相关法律、行政法规的规定，遵循平等、自愿、公平、公正和诚实信用的原则，双方就重庆理工职业学院消防维修施工承包事宜协商一致，订立本合同，供双方共同遵照执行。</w:t>
      </w:r>
    </w:p>
    <w:p w14:paraId="45036D9D">
      <w:pPr>
        <w:widowControl w:val="0"/>
        <w:kinsoku/>
        <w:autoSpaceDE/>
        <w:autoSpaceDN/>
        <w:adjustRightInd/>
        <w:snapToGrid/>
        <w:spacing w:line="560" w:lineRule="atLeast"/>
        <w:ind w:firstLine="640" w:firstLineChars="200"/>
        <w:jc w:val="both"/>
        <w:textAlignment w:val="auto"/>
        <w:rPr>
          <w:rFonts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第一条  工程概况</w:t>
      </w:r>
    </w:p>
    <w:p w14:paraId="4FFF04F1">
      <w:pPr>
        <w:widowControl w:val="0"/>
        <w:kinsoku/>
        <w:autoSpaceDE/>
        <w:autoSpaceDN/>
        <w:adjustRightInd/>
        <w:snapToGrid/>
        <w:spacing w:line="560" w:lineRule="atLeas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rPr>
      </w:pPr>
      <w:r>
        <w:rPr>
          <w:rFonts w:hint="eastAsia" w:ascii="Times New Roman" w:hAnsi="Times New Roman" w:eastAsia="方正仿宋_GBK" w:cs="Times New Roman"/>
          <w:snapToGrid/>
          <w:color w:val="auto"/>
          <w:kern w:val="2"/>
          <w:sz w:val="32"/>
          <w:szCs w:val="32"/>
          <w:highlight w:val="none"/>
          <w:lang w:eastAsia="zh-CN"/>
        </w:rPr>
        <w:t>1.1、工程名称：</w:t>
      </w:r>
      <w:r>
        <w:rPr>
          <w:rFonts w:hint="eastAsia" w:ascii="Times New Roman" w:hAnsi="Times New Roman" w:eastAsia="方正仿宋_GBK" w:cs="Times New Roman"/>
          <w:snapToGrid/>
          <w:color w:val="auto"/>
          <w:kern w:val="2"/>
          <w:sz w:val="32"/>
          <w:szCs w:val="32"/>
          <w:lang w:val="en-US" w:eastAsia="zh-CN"/>
        </w:rPr>
        <w:t>重庆理工职业学院青教楼新增监控工程</w:t>
      </w:r>
    </w:p>
    <w:p w14:paraId="4AAB7734">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1.2、工程地点：重庆市巴南区东城大道588号</w:t>
      </w:r>
    </w:p>
    <w:p w14:paraId="29446622">
      <w:pPr>
        <w:widowControl w:val="0"/>
        <w:kinsoku/>
        <w:autoSpaceDE/>
        <w:autoSpaceDN/>
        <w:adjustRightInd/>
        <w:snapToGrid/>
        <w:spacing w:line="560" w:lineRule="atLeas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1.3、工程</w:t>
      </w:r>
      <w:r>
        <w:rPr>
          <w:rFonts w:hint="eastAsia" w:ascii="Times New Roman" w:hAnsi="Times New Roman" w:eastAsia="方正仿宋_GBK" w:cs="Times New Roman"/>
          <w:snapToGrid/>
          <w:color w:val="auto"/>
          <w:kern w:val="2"/>
          <w:sz w:val="32"/>
          <w:szCs w:val="32"/>
          <w:highlight w:val="none"/>
          <w:lang w:val="en-US" w:eastAsia="zh-CN"/>
        </w:rPr>
        <w:t>概况</w:t>
      </w:r>
      <w:r>
        <w:rPr>
          <w:rFonts w:hint="eastAsia" w:ascii="Times New Roman" w:hAnsi="Times New Roman" w:eastAsia="方正仿宋_GBK" w:cs="Times New Roman"/>
          <w:snapToGrid/>
          <w:color w:val="auto"/>
          <w:kern w:val="2"/>
          <w:sz w:val="32"/>
          <w:szCs w:val="32"/>
          <w:highlight w:val="none"/>
          <w:lang w:eastAsia="zh-CN"/>
        </w:rPr>
        <w:t>：</w:t>
      </w:r>
      <w:r>
        <w:rPr>
          <w:rFonts w:hint="eastAsia" w:ascii="Times New Roman" w:hAnsi="Times New Roman" w:eastAsia="方正仿宋_GBK" w:cs="Times New Roman"/>
          <w:snapToGrid/>
          <w:color w:val="FF0000"/>
          <w:kern w:val="2"/>
          <w:sz w:val="32"/>
          <w:szCs w:val="32"/>
          <w:lang w:val="en-US" w:eastAsia="zh-CN"/>
        </w:rPr>
        <w:t>青教公寓改造之后学生入住，强化宿舍安全管理，楼层、车库及周边环境共增加48台摄像头（18层楼每层2台，车库9台，室外3台）及相关配套设施设备，并集中于中控室的采购、安装、调试工作。</w:t>
      </w:r>
    </w:p>
    <w:p w14:paraId="1AA6BC02">
      <w:pPr>
        <w:widowControl w:val="0"/>
        <w:kinsoku/>
        <w:autoSpaceDE/>
        <w:autoSpaceDN/>
        <w:adjustRightInd/>
        <w:snapToGrid/>
        <w:spacing w:line="560" w:lineRule="atLeast"/>
        <w:ind w:firstLine="640" w:firstLineChars="200"/>
        <w:jc w:val="both"/>
        <w:textAlignment w:val="auto"/>
        <w:rPr>
          <w:rFonts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第二条  工程承包方式及合同价款</w:t>
      </w:r>
    </w:p>
    <w:p w14:paraId="7AFDC164">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2.1、工程承包方式：包工、包料、包质量、包工期、包安全文明施工(交钥匙工程)、包竣工资料。</w:t>
      </w:r>
    </w:p>
    <w:p w14:paraId="6B8C0A4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2.2、本工程采用包干总价，总价为</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元（大写人</w:t>
      </w:r>
      <w:r>
        <w:rPr>
          <w:rFonts w:hint="eastAsia" w:ascii="Times New Roman" w:hAnsi="Times New Roman" w:eastAsia="方正仿宋_GBK" w:cs="Times New Roman"/>
          <w:snapToGrid/>
          <w:color w:val="auto"/>
          <w:kern w:val="2"/>
          <w:sz w:val="32"/>
          <w:szCs w:val="32"/>
          <w:highlight w:val="none"/>
          <w:lang w:val="en-US" w:eastAsia="zh-CN"/>
        </w:rPr>
        <w:t>民币</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此包干总价涵盖完成本工程施工承包范围内全部工作内容所需的所有费用，包括但不限于人工费、材料费、机械费、运输费（含垂直运输设备费）、安全文明施工费（临时设施费、脚手架）、措施费（含技术和组织措施）、管理费（含材料看守费）、税费、购买各种保险费、协调费、赶工费、楼层管道与套管之间的封堵、切缝费、配合费、施工完后自有垃圾清理费、环保费、基础资料整理费、材料下车费及二次倒运费、停窝工损失费、冬雨季施工增加费、临时设施费、各类市场风险等，不论上述费用是否在合同文件和清单中明确说明，亦不论其在签订合同时是否可预料。</w:t>
      </w:r>
    </w:p>
    <w:p w14:paraId="238720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w:t>
      </w:r>
      <w:r>
        <w:rPr>
          <w:rFonts w:hint="eastAsia" w:ascii="Times New Roman" w:hAnsi="Times New Roman" w:eastAsia="方正仿宋_GBK" w:cs="Times New Roman"/>
          <w:snapToGrid/>
          <w:color w:val="auto"/>
          <w:kern w:val="2"/>
          <w:sz w:val="32"/>
          <w:szCs w:val="32"/>
          <w:highlight w:val="none"/>
          <w:lang w:val="en-US" w:eastAsia="zh-CN"/>
        </w:rPr>
        <w:t>4</w:t>
      </w:r>
      <w:r>
        <w:rPr>
          <w:rFonts w:hint="eastAsia" w:ascii="Times New Roman" w:hAnsi="Times New Roman" w:eastAsia="方正仿宋_GBK" w:cs="Times New Roman"/>
          <w:snapToGrid/>
          <w:color w:val="auto"/>
          <w:kern w:val="2"/>
          <w:sz w:val="32"/>
          <w:szCs w:val="32"/>
          <w:highlight w:val="none"/>
          <w:lang w:eastAsia="zh-CN"/>
        </w:rPr>
        <w:t>、本工程不产生计时工。</w:t>
      </w:r>
    </w:p>
    <w:p w14:paraId="7318EE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w:t>
      </w:r>
      <w:r>
        <w:rPr>
          <w:rFonts w:hint="eastAsia" w:ascii="Times New Roman" w:hAnsi="Times New Roman" w:eastAsia="方正仿宋_GBK" w:cs="Times New Roman"/>
          <w:snapToGrid/>
          <w:color w:val="auto"/>
          <w:kern w:val="2"/>
          <w:sz w:val="32"/>
          <w:szCs w:val="32"/>
          <w:highlight w:val="none"/>
          <w:lang w:val="en-US" w:eastAsia="zh-CN"/>
        </w:rPr>
        <w:t>5</w:t>
      </w:r>
      <w:r>
        <w:rPr>
          <w:rFonts w:hint="eastAsia" w:ascii="Times New Roman" w:hAnsi="Times New Roman" w:eastAsia="方正仿宋_GBK" w:cs="Times New Roman"/>
          <w:snapToGrid/>
          <w:color w:val="auto"/>
          <w:kern w:val="2"/>
          <w:sz w:val="32"/>
          <w:szCs w:val="32"/>
          <w:highlight w:val="none"/>
          <w:lang w:eastAsia="zh-CN"/>
        </w:rPr>
        <w:t>、本工程的临时用水和用电</w:t>
      </w:r>
      <w:r>
        <w:rPr>
          <w:rFonts w:hint="eastAsia" w:ascii="Times New Roman" w:hAnsi="Times New Roman" w:eastAsia="方正仿宋_GBK" w:cs="Times New Roman"/>
          <w:snapToGrid/>
          <w:color w:val="auto"/>
          <w:kern w:val="2"/>
          <w:sz w:val="32"/>
          <w:szCs w:val="32"/>
          <w:highlight w:val="none"/>
          <w:lang w:val="en-US" w:eastAsia="zh-CN"/>
        </w:rPr>
        <w:t>费用</w:t>
      </w:r>
      <w:r>
        <w:rPr>
          <w:rFonts w:hint="eastAsia" w:ascii="Times New Roman" w:hAnsi="Times New Roman" w:eastAsia="方正仿宋_GBK" w:cs="Times New Roman"/>
          <w:snapToGrid/>
          <w:color w:val="FF0000"/>
          <w:kern w:val="2"/>
          <w:sz w:val="32"/>
          <w:szCs w:val="32"/>
          <w:highlight w:val="none"/>
          <w:lang w:val="en-US" w:eastAsia="zh-CN"/>
        </w:rPr>
        <w:t>按合同总价的千分之三收取，在项目结算时扣除</w:t>
      </w:r>
      <w:r>
        <w:rPr>
          <w:rFonts w:hint="eastAsia" w:ascii="Times New Roman" w:hAnsi="Times New Roman" w:eastAsia="方正仿宋_GBK" w:cs="Times New Roman"/>
          <w:snapToGrid/>
          <w:color w:val="FF0000"/>
          <w:kern w:val="2"/>
          <w:sz w:val="32"/>
          <w:szCs w:val="32"/>
          <w:highlight w:val="none"/>
          <w:lang w:eastAsia="zh-CN"/>
        </w:rPr>
        <w:t>。</w:t>
      </w:r>
    </w:p>
    <w:p w14:paraId="286C660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第三条  工程款支付</w:t>
      </w:r>
    </w:p>
    <w:p w14:paraId="5A9714A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3.1、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的一切费用均由乙方承担。</w:t>
      </w:r>
    </w:p>
    <w:p w14:paraId="600429A3">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3.2、工程款支付</w:t>
      </w:r>
    </w:p>
    <w:p w14:paraId="35C474A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napToGrid/>
          <w:color w:val="FF0000"/>
          <w:kern w:val="2"/>
          <w:sz w:val="32"/>
          <w:szCs w:val="32"/>
          <w:highlight w:val="none"/>
          <w:lang w:eastAsia="zh-CN"/>
        </w:rPr>
      </w:pPr>
      <w:r>
        <w:rPr>
          <w:rFonts w:hint="eastAsia" w:ascii="Times New Roman" w:hAnsi="Times New Roman" w:eastAsia="方正仿宋_GBK" w:cs="Times New Roman"/>
          <w:snapToGrid/>
          <w:color w:val="FF0000"/>
          <w:kern w:val="2"/>
          <w:sz w:val="32"/>
          <w:szCs w:val="32"/>
          <w:highlight w:val="none"/>
          <w:lang w:eastAsia="zh-CN"/>
        </w:rPr>
        <w:t>3.2</w:t>
      </w:r>
      <w:r>
        <w:rPr>
          <w:rFonts w:hint="eastAsia" w:ascii="Times New Roman" w:hAnsi="Times New Roman" w:eastAsia="方正仿宋_GBK" w:cs="Times New Roman"/>
          <w:snapToGrid/>
          <w:color w:val="FF0000"/>
          <w:kern w:val="2"/>
          <w:sz w:val="32"/>
          <w:szCs w:val="32"/>
          <w:highlight w:val="none"/>
          <w:lang w:val="en-US" w:eastAsia="zh-CN"/>
        </w:rPr>
        <w:t>.1</w:t>
      </w:r>
      <w:r>
        <w:rPr>
          <w:rFonts w:hint="eastAsia" w:ascii="Times New Roman" w:hAnsi="Times New Roman" w:eastAsia="方正仿宋_GBK" w:cs="Times New Roman"/>
          <w:snapToGrid/>
          <w:color w:val="FF0000"/>
          <w:kern w:val="2"/>
          <w:sz w:val="32"/>
          <w:szCs w:val="32"/>
          <w:highlight w:val="none"/>
          <w:lang w:eastAsia="zh-CN"/>
        </w:rPr>
        <w:t>、</w:t>
      </w:r>
    </w:p>
    <w:p w14:paraId="0BC52DC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i w:val="0"/>
          <w:iCs w:val="0"/>
          <w:caps w:val="0"/>
          <w:color w:val="FF0000"/>
          <w:spacing w:val="0"/>
          <w:sz w:val="32"/>
          <w:szCs w:val="32"/>
          <w:shd w:val="clear" w:fill="FFFFFF"/>
        </w:rPr>
      </w:pPr>
      <w:r>
        <w:rPr>
          <w:rFonts w:hint="eastAsia" w:ascii="仿宋" w:hAnsi="仿宋" w:eastAsia="仿宋" w:cs="仿宋"/>
          <w:b w:val="0"/>
          <w:bCs w:val="0"/>
          <w:i w:val="0"/>
          <w:iCs w:val="0"/>
          <w:caps w:val="0"/>
          <w:color w:val="FF0000"/>
          <w:spacing w:val="0"/>
          <w:sz w:val="32"/>
          <w:szCs w:val="32"/>
          <w:shd w:val="clear" w:fill="FFFFFF"/>
          <w:lang w:val="en-US" w:eastAsia="zh-CN"/>
        </w:rPr>
        <w:t>本工程无预付款，</w:t>
      </w:r>
    </w:p>
    <w:p w14:paraId="719361C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i w:val="0"/>
          <w:iCs w:val="0"/>
          <w:caps w:val="0"/>
          <w:color w:val="FF0000"/>
          <w:spacing w:val="0"/>
          <w:sz w:val="32"/>
          <w:szCs w:val="32"/>
          <w:shd w:val="clear" w:fill="FFFFFF"/>
        </w:rPr>
      </w:pPr>
      <w:r>
        <w:rPr>
          <w:rFonts w:hint="eastAsia" w:ascii="仿宋" w:hAnsi="仿宋" w:eastAsia="仿宋" w:cs="仿宋"/>
          <w:b w:val="0"/>
          <w:bCs w:val="0"/>
          <w:i w:val="0"/>
          <w:iCs w:val="0"/>
          <w:caps w:val="0"/>
          <w:color w:val="FF0000"/>
          <w:spacing w:val="0"/>
          <w:sz w:val="32"/>
          <w:szCs w:val="32"/>
          <w:shd w:val="clear" w:fill="FFFFFF"/>
          <w:lang w:val="en-US" w:eastAsia="zh-CN"/>
        </w:rPr>
        <w:t>整个工程完工后，经建设单位组织相关人员进行竣工验收，验收符合合同约定及行业验收标准验收合格后，施工单位在28日内递交3套完整的结算资料和竣工资料（</w:t>
      </w:r>
      <w:r>
        <w:rPr>
          <w:rFonts w:hint="default" w:ascii="Times New Roman" w:hAnsi="Times New Roman" w:eastAsia="方正仿宋_GBK" w:cs="Times New Roman"/>
          <w:color w:val="FF0000"/>
          <w:sz w:val="32"/>
          <w:szCs w:val="32"/>
          <w:lang w:val="en-US" w:eastAsia="zh-CN"/>
        </w:rPr>
        <w:t>包括但不限于结算书、竣工图、材料合格证明、质量保证书、隐蔽工程验收记录、施工日志以及其它能够证明工程按合同要求完成的相关文件资料，电子文档及纸质文档</w:t>
      </w:r>
      <w:r>
        <w:rPr>
          <w:rFonts w:hint="eastAsia" w:ascii="仿宋" w:hAnsi="仿宋" w:eastAsia="仿宋" w:cs="仿宋"/>
          <w:b w:val="0"/>
          <w:bCs w:val="0"/>
          <w:i w:val="0"/>
          <w:iCs w:val="0"/>
          <w:caps w:val="0"/>
          <w:color w:val="FF0000"/>
          <w:spacing w:val="0"/>
          <w:sz w:val="32"/>
          <w:szCs w:val="32"/>
          <w:shd w:val="clear" w:fill="FFFFFF"/>
          <w:lang w:val="en-US" w:eastAsia="zh-CN"/>
        </w:rPr>
        <w:t>）至建设单位，</w:t>
      </w:r>
      <w:r>
        <w:rPr>
          <w:rFonts w:hint="eastAsia" w:ascii="Times New Roman" w:hAnsi="Times New Roman" w:eastAsia="方正仿宋_GBK" w:cs="Times New Roman"/>
          <w:color w:val="FF0000"/>
          <w:sz w:val="32"/>
          <w:szCs w:val="32"/>
          <w:lang w:val="en-US" w:eastAsia="zh-CN"/>
        </w:rPr>
        <w:t>建设单位</w:t>
      </w:r>
      <w:r>
        <w:rPr>
          <w:rFonts w:hint="default" w:ascii="Times New Roman" w:hAnsi="Times New Roman" w:eastAsia="方正仿宋_GBK" w:cs="Times New Roman"/>
          <w:color w:val="FF0000"/>
          <w:sz w:val="32"/>
          <w:szCs w:val="32"/>
          <w:lang w:val="en-US" w:eastAsia="zh-CN"/>
        </w:rPr>
        <w:t>在收到完整的相关结算资料和竣工资料后30日内完成核对并结算办理完成</w:t>
      </w:r>
      <w:r>
        <w:rPr>
          <w:rFonts w:hint="eastAsia" w:ascii="Times New Roman" w:hAnsi="Times New Roman" w:eastAsia="方正仿宋_GBK" w:cs="Times New Roman"/>
          <w:color w:val="FF0000"/>
          <w:sz w:val="32"/>
          <w:szCs w:val="32"/>
          <w:lang w:val="en-US" w:eastAsia="zh-CN"/>
        </w:rPr>
        <w:t>，核对并结算办理完成后15个工作日内支付至工程结算金额的97%。剩余3%为质保金。</w:t>
      </w:r>
    </w:p>
    <w:p w14:paraId="30E3CF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i w:val="0"/>
          <w:iCs w:val="0"/>
          <w:caps w:val="0"/>
          <w:color w:val="FF0000"/>
          <w:spacing w:val="0"/>
          <w:sz w:val="32"/>
          <w:szCs w:val="32"/>
          <w:shd w:val="clear" w:fill="FFFFFF"/>
        </w:rPr>
      </w:pPr>
      <w:r>
        <w:rPr>
          <w:rFonts w:hint="eastAsia" w:ascii="Times New Roman" w:hAnsi="Times New Roman" w:eastAsia="方正仿宋_GBK" w:cs="Times New Roman"/>
          <w:color w:val="FF0000"/>
          <w:sz w:val="32"/>
          <w:szCs w:val="32"/>
          <w:lang w:val="en-US" w:eastAsia="zh-CN"/>
        </w:rPr>
        <w:t>款项支付前，施工单位需开具有效的增值税普票。</w:t>
      </w:r>
    </w:p>
    <w:p w14:paraId="6A0C6DEE">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3.2</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w:t>
      </w:r>
      <w:r>
        <w:rPr>
          <w:rFonts w:hint="eastAsia" w:ascii="Times New Roman" w:hAnsi="Times New Roman" w:eastAsia="方正仿宋_GBK" w:cs="Times New Roman"/>
          <w:snapToGrid/>
          <w:color w:val="auto"/>
          <w:kern w:val="2"/>
          <w:sz w:val="32"/>
          <w:szCs w:val="32"/>
          <w:highlight w:val="none"/>
          <w:lang w:val="en-US" w:eastAsia="zh-CN"/>
        </w:rPr>
        <w:t>工程竣工验收合格之后，乙方提交履约保证金退还申请。甲方收到申请之后15个工作日之内，履约保证金无息退还乙方，本项目履约保证金为</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val="en-US" w:eastAsia="zh-CN"/>
        </w:rPr>
        <w:t>元（大写：</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val="en-US" w:eastAsia="zh-CN"/>
        </w:rPr>
        <w:t>）。</w:t>
      </w:r>
    </w:p>
    <w:p w14:paraId="3A774EBE">
      <w:pPr>
        <w:widowControl w:val="0"/>
        <w:kinsoku/>
        <w:autoSpaceDE/>
        <w:autoSpaceDN/>
        <w:adjustRightInd/>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3.2.3、</w:t>
      </w:r>
      <w:r>
        <w:rPr>
          <w:rFonts w:hint="eastAsia" w:ascii="Times New Roman" w:hAnsi="Times New Roman" w:eastAsia="方正仿宋_GBK" w:cs="Times New Roman"/>
          <w:snapToGrid/>
          <w:color w:val="FF0000"/>
          <w:kern w:val="2"/>
          <w:sz w:val="32"/>
          <w:szCs w:val="32"/>
          <w:highlight w:val="none"/>
          <w:lang w:val="en-US" w:eastAsia="zh-CN"/>
        </w:rPr>
        <w:t>质保期2年。</w:t>
      </w:r>
      <w:r>
        <w:rPr>
          <w:rFonts w:hint="eastAsia" w:ascii="Times New Roman" w:hAnsi="Times New Roman" w:eastAsia="方正仿宋_GBK" w:cs="Times New Roman"/>
          <w:snapToGrid/>
          <w:color w:val="FF0000"/>
          <w:kern w:val="2"/>
          <w:sz w:val="32"/>
          <w:szCs w:val="32"/>
          <w:lang w:val="en-US" w:eastAsia="zh-CN"/>
        </w:rPr>
        <w:t>质保金为审定结算金额的3％。</w:t>
      </w:r>
      <w:r>
        <w:rPr>
          <w:rFonts w:hint="eastAsia" w:ascii="Times New Roman" w:hAnsi="Times New Roman" w:eastAsia="方正仿宋_GBK" w:cs="Times New Roman"/>
          <w:snapToGrid/>
          <w:color w:val="FF0000"/>
          <w:kern w:val="2"/>
          <w:sz w:val="32"/>
          <w:szCs w:val="32"/>
          <w:highlight w:val="none"/>
          <w:lang w:val="en-US" w:eastAsia="zh-CN"/>
        </w:rPr>
        <w:t>质保期满且无任何质量问题，乙方向甲方提交质保金退还申请，甲方在收到申请之后15个工作日之内，质保金无息退还乙方。</w:t>
      </w:r>
    </w:p>
    <w:p w14:paraId="2C57908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第四条  工期</w:t>
      </w:r>
    </w:p>
    <w:p w14:paraId="634D0764">
      <w:pPr>
        <w:widowControl w:val="0"/>
        <w:kinsoku/>
        <w:autoSpaceDE/>
        <w:autoSpaceDN/>
        <w:adjustRightInd/>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本工程项目合同签订之日起30天。</w:t>
      </w:r>
    </w:p>
    <w:p w14:paraId="7E002BD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第五条  甲乙双方驻施工现场代表</w:t>
      </w:r>
    </w:p>
    <w:p w14:paraId="279F071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甲方代表：</w:t>
      </w:r>
      <w:r>
        <w:rPr>
          <w:rFonts w:hint="eastAsia" w:ascii="Times New Roman" w:hAnsi="Times New Roman" w:eastAsia="方正仿宋_GBK" w:cs="Times New Roman"/>
          <w:snapToGrid/>
          <w:color w:val="auto"/>
          <w:kern w:val="2"/>
          <w:sz w:val="32"/>
          <w:szCs w:val="32"/>
          <w:highlight w:val="none"/>
          <w:lang w:val="en-US" w:eastAsia="zh-CN"/>
        </w:rPr>
        <w:t>张恩豪</w:t>
      </w:r>
      <w:r>
        <w:rPr>
          <w:rFonts w:hint="eastAsia" w:ascii="Times New Roman" w:hAnsi="Times New Roman" w:eastAsia="方正仿宋_GBK" w:cs="Times New Roman"/>
          <w:snapToGrid/>
          <w:color w:val="auto"/>
          <w:kern w:val="2"/>
          <w:sz w:val="32"/>
          <w:szCs w:val="32"/>
          <w:highlight w:val="none"/>
          <w:lang w:eastAsia="zh-CN"/>
        </w:rPr>
        <w:t xml:space="preserve">  电话：</w:t>
      </w:r>
      <w:r>
        <w:rPr>
          <w:rFonts w:hint="eastAsia" w:ascii="Times New Roman" w:hAnsi="Times New Roman" w:eastAsia="方正仿宋_GBK" w:cs="Times New Roman"/>
          <w:snapToGrid/>
          <w:color w:val="auto"/>
          <w:kern w:val="2"/>
          <w:sz w:val="32"/>
          <w:szCs w:val="32"/>
          <w:highlight w:val="none"/>
          <w:lang w:val="en-US" w:eastAsia="zh-CN"/>
        </w:rPr>
        <w:t>15086858271</w:t>
      </w:r>
    </w:p>
    <w:p w14:paraId="6EEA8C60">
      <w:pPr>
        <w:widowControl w:val="0"/>
        <w:kinsoku/>
        <w:autoSpaceDE/>
        <w:autoSpaceDN/>
        <w:adjustRightInd/>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乙方代表：</w:t>
      </w:r>
      <w:r>
        <w:rPr>
          <w:rFonts w:hint="eastAsia" w:ascii="Times New Roman" w:hAnsi="Times New Roman" w:eastAsia="方正仿宋_GBK" w:cs="Times New Roman"/>
          <w:snapToGrid/>
          <w:color w:val="auto"/>
          <w:kern w:val="2"/>
          <w:sz w:val="32"/>
          <w:szCs w:val="32"/>
          <w:highlight w:val="non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 xml:space="preserve">  电话：</w:t>
      </w:r>
    </w:p>
    <w:p w14:paraId="6C3119E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第六条  甲方的权利和义务</w:t>
      </w:r>
    </w:p>
    <w:p w14:paraId="3787EFC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6.1、施工场地具备开工条件，向乙方进行交底。</w:t>
      </w:r>
      <w:r>
        <w:rPr>
          <w:rFonts w:hint="eastAsia" w:ascii="Times New Roman" w:hAnsi="Times New Roman" w:eastAsia="方正仿宋_GBK" w:cs="Times New Roman"/>
          <w:snapToGrid/>
          <w:color w:val="FF0000"/>
          <w:kern w:val="2"/>
          <w:sz w:val="32"/>
          <w:szCs w:val="32"/>
          <w:highlight w:val="none"/>
          <w:lang w:val="en-US" w:eastAsia="zh-CN"/>
        </w:rPr>
        <w:t>电子档图纸、需求</w:t>
      </w:r>
      <w:r>
        <w:rPr>
          <w:rFonts w:hint="eastAsia" w:ascii="Times New Roman" w:hAnsi="Times New Roman" w:eastAsia="方正仿宋_GBK" w:cs="Times New Roman"/>
          <w:snapToGrid/>
          <w:color w:val="FF0000"/>
          <w:kern w:val="2"/>
          <w:sz w:val="32"/>
          <w:szCs w:val="32"/>
          <w:highlight w:val="none"/>
          <w:lang w:eastAsia="zh-CN"/>
        </w:rPr>
        <w:t>和技术资料</w:t>
      </w:r>
      <w:r>
        <w:rPr>
          <w:rFonts w:hint="eastAsia" w:ascii="Times New Roman" w:hAnsi="Times New Roman" w:eastAsia="方正仿宋_GBK" w:cs="Times New Roman"/>
          <w:snapToGrid/>
          <w:color w:val="auto"/>
          <w:kern w:val="2"/>
          <w:sz w:val="32"/>
          <w:szCs w:val="32"/>
          <w:highlight w:val="none"/>
          <w:lang w:eastAsia="zh-CN"/>
        </w:rPr>
        <w:t>，并办理施工所涉及的各种申请、批件等手续。开通施工场地通道，指定施工水、电接口(驳接费用由乙方承担)。</w:t>
      </w:r>
    </w:p>
    <w:p w14:paraId="00ECD40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6.2、安排专人监督检查工程质量、进度，负责施工期间机械、设备、材料到场的验收及中间质量验收，并协调解决施工中的其他问题。</w:t>
      </w:r>
    </w:p>
    <w:p w14:paraId="36AF1B5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6.3、根据合同约定，按时足额支付工程款。</w:t>
      </w:r>
    </w:p>
    <w:p w14:paraId="77F4102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第七条  乙方的权利和义务</w:t>
      </w:r>
    </w:p>
    <w:p w14:paraId="6A03753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w:t>
      </w:r>
      <w:r>
        <w:rPr>
          <w:rFonts w:hint="eastAsia" w:ascii="Times New Roman" w:hAnsi="Times New Roman" w:eastAsia="方正仿宋_GBK" w:cs="Times New Roman"/>
          <w:snapToGrid/>
          <w:color w:val="FF0000"/>
          <w:kern w:val="2"/>
          <w:sz w:val="32"/>
          <w:szCs w:val="32"/>
          <w:highlight w:val="none"/>
          <w:lang w:val="en-US" w:eastAsia="zh-CN"/>
        </w:rPr>
        <w:t>根据项目清单及甲方需求</w:t>
      </w:r>
      <w:r>
        <w:rPr>
          <w:rFonts w:hint="eastAsia" w:ascii="Times New Roman" w:hAnsi="Times New Roman" w:eastAsia="方正仿宋_GBK" w:cs="Times New Roman"/>
          <w:snapToGrid/>
          <w:color w:val="auto"/>
          <w:kern w:val="2"/>
          <w:sz w:val="32"/>
          <w:szCs w:val="32"/>
          <w:highlight w:val="none"/>
          <w:lang w:val="en-US" w:eastAsia="zh-CN"/>
        </w:rPr>
        <w:t>，</w:t>
      </w:r>
      <w:r>
        <w:rPr>
          <w:rFonts w:hint="eastAsia" w:ascii="Times New Roman" w:hAnsi="Times New Roman" w:eastAsia="方正仿宋_GBK" w:cs="Times New Roman"/>
          <w:snapToGrid/>
          <w:color w:val="auto"/>
          <w:kern w:val="2"/>
          <w:sz w:val="32"/>
          <w:szCs w:val="32"/>
          <w:highlight w:val="none"/>
          <w:lang w:eastAsia="zh-CN"/>
        </w:rPr>
        <w:t>按照甲方认可的设计方案及合同条款组织施工，由乙方自行组织施工全过程各项工作，不得将其承包的分包工程转包给他人，也不得将其承包的工程的全部或部分再分包给他人，否则甲方有权解除合同，并由乙方承担所造成的损失。</w:t>
      </w:r>
    </w:p>
    <w:p w14:paraId="4E74CAB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7.2、制定施工组织方案，保证对所承建的工程严格按照施工图及说明、施工规范和质量验收标准，精心组织施工，并按要求做好各项规定资料。及时处理施工现场出现的各种施工质量问题、安全文明问题，对由于乙方原因发生的质量或安全事故，其全部责任由乙方承担，维护甲方社会信誉。并按双方约定的施工进度计划施工，保证施工质量和进度。</w:t>
      </w:r>
    </w:p>
    <w:p w14:paraId="195A0BD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7.3、接受甲方和工程监理（</w:t>
      </w:r>
      <w:r>
        <w:rPr>
          <w:rFonts w:hint="eastAsia" w:ascii="Times New Roman" w:hAnsi="Times New Roman" w:eastAsia="方正仿宋_GBK" w:cs="Times New Roman"/>
          <w:snapToGrid/>
          <w:color w:val="auto"/>
          <w:kern w:val="2"/>
          <w:sz w:val="32"/>
          <w:szCs w:val="32"/>
          <w:highlight w:val="none"/>
          <w:lang w:val="en-US" w:eastAsia="zh-CN"/>
        </w:rPr>
        <w:t>若有</w:t>
      </w:r>
      <w:r>
        <w:rPr>
          <w:rFonts w:hint="eastAsia" w:ascii="Times New Roman" w:hAnsi="Times New Roman" w:eastAsia="方正仿宋_GBK" w:cs="Times New Roman"/>
          <w:snapToGrid/>
          <w:color w:val="auto"/>
          <w:kern w:val="2"/>
          <w:sz w:val="32"/>
          <w:szCs w:val="32"/>
          <w:highlight w:val="none"/>
          <w:lang w:eastAsia="zh-CN"/>
        </w:rPr>
        <w:t>）指定的现场代表的工作安排及质量监督，及时向甲方上报经济技术指标、工程进度，按时提供技术资料及需要上报的各种报表。</w:t>
      </w:r>
    </w:p>
    <w:p w14:paraId="3241D02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7.4、乙方施工现场主要人员必须得到甲方的认可，且必须持有法人委托书、专业技术资格证书，能够胜任所负责的工程技术和管理工作。甲方有权要求乙方更换甲方认为不称职的人员。主要负责人不得擅自离开工地，若要离开必须向甲方</w:t>
      </w:r>
      <w:r>
        <w:rPr>
          <w:rFonts w:hint="eastAsia" w:ascii="Times New Roman" w:hAnsi="Times New Roman" w:eastAsia="方正仿宋_GBK" w:cs="Times New Roman"/>
          <w:snapToGrid/>
          <w:color w:val="auto"/>
          <w:kern w:val="2"/>
          <w:sz w:val="32"/>
          <w:szCs w:val="32"/>
          <w:highlight w:val="none"/>
          <w:lang w:val="en-US" w:eastAsia="zh-CN"/>
        </w:rPr>
        <w:t>代表</w:t>
      </w:r>
      <w:r>
        <w:rPr>
          <w:rFonts w:hint="eastAsia" w:ascii="Times New Roman" w:hAnsi="Times New Roman" w:eastAsia="方正仿宋_GBK" w:cs="Times New Roman"/>
          <w:snapToGrid/>
          <w:color w:val="auto"/>
          <w:kern w:val="2"/>
          <w:sz w:val="32"/>
          <w:szCs w:val="32"/>
          <w:highlight w:val="none"/>
          <w:lang w:eastAsia="zh-CN"/>
        </w:rPr>
        <w:t>请假，否则甲方将按缺席人数以每人每天200元对乙方进行处罚。</w:t>
      </w:r>
    </w:p>
    <w:p w14:paraId="1FCBB0C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7.5、在施工过程中保证工程质量，做到文明施工。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责任全部由乙方承担，甲方应予以配合。</w:t>
      </w:r>
    </w:p>
    <w:p w14:paraId="433E9CF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7.6、合同签订后，</w:t>
      </w:r>
      <w:r>
        <w:rPr>
          <w:rFonts w:hint="eastAsia" w:ascii="Times New Roman" w:hAnsi="Times New Roman" w:eastAsia="方正仿宋_GBK" w:cs="Times New Roman"/>
          <w:snapToGrid/>
          <w:color w:val="auto"/>
          <w:kern w:val="2"/>
          <w:sz w:val="32"/>
          <w:szCs w:val="32"/>
          <w:highlight w:val="none"/>
          <w:lang w:val="en-US" w:eastAsia="zh-CN"/>
        </w:rPr>
        <w:t>施工方案</w:t>
      </w:r>
      <w:r>
        <w:rPr>
          <w:rFonts w:hint="eastAsia" w:ascii="Times New Roman" w:hAnsi="Times New Roman" w:eastAsia="方正仿宋_GBK" w:cs="Times New Roman"/>
          <w:snapToGrid/>
          <w:color w:val="auto"/>
          <w:kern w:val="2"/>
          <w:sz w:val="32"/>
          <w:szCs w:val="32"/>
          <w:highlight w:val="none"/>
          <w:lang w:eastAsia="zh-CN"/>
        </w:rPr>
        <w:t>乙方不能擅自变更；否则，乙方应对给甲方造成的损失承担相应的赔偿责任。变更需经的甲方书面同意。变更后的工作内容，乙方重新上报综合包干单价，经甲方审定后实施。</w:t>
      </w:r>
    </w:p>
    <w:p w14:paraId="64CBC8D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7.7、乙方应向甲方提供相关产品的产品合格证、质保书、产品检验检测报告等相关资料。</w:t>
      </w:r>
    </w:p>
    <w:p w14:paraId="7EF9F84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7.8、乙方负责按照甲方工期进度、质量、安全文明施工等有关要求编制工程总进度计划，并上报甲方审核批准。一经批准，乙方必须完全按照施工组织设计施工，不得擅自修改施工组织设计和总进度计划，乙方未上报施工组织设计则承担2000元的违约金。</w:t>
      </w:r>
    </w:p>
    <w:p w14:paraId="155A1E0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7.9、清单中核定的材料品牌，乙方不得私自变更，若发生，所用不合格材料全部清理出场，并承担</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万元每次的违约金。</w:t>
      </w:r>
    </w:p>
    <w:p w14:paraId="53918FE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7.10、乙方应对施工现场进行保护(含其他单位的成品保护),起始时间从乙方进场后至工程竣工验收合格后撤场，施工现场的成品、半成品、材料及设备损坏或灭失的风险均由乙方承担。</w:t>
      </w:r>
    </w:p>
    <w:p w14:paraId="1C4E17D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7.11、在工程实施过程中产生的工程变更、索赔、现场签证、工程计量、进度款支付、施工组织方案、专项方案等，监理单位监理人具有审核权，需最终报甲方审批后方可实施，乙方需服从监理单位的监督管理（</w:t>
      </w:r>
      <w:r>
        <w:rPr>
          <w:rFonts w:hint="eastAsia" w:ascii="Times New Roman" w:hAnsi="Times New Roman" w:eastAsia="方正仿宋_GBK" w:cs="Times New Roman"/>
          <w:snapToGrid/>
          <w:color w:val="auto"/>
          <w:kern w:val="2"/>
          <w:sz w:val="32"/>
          <w:szCs w:val="32"/>
          <w:highlight w:val="none"/>
          <w:lang w:val="en-US" w:eastAsia="zh-CN"/>
        </w:rPr>
        <w:t>若有</w:t>
      </w:r>
      <w:r>
        <w:rPr>
          <w:rFonts w:hint="eastAsia" w:ascii="Times New Roman" w:hAnsi="Times New Roman" w:eastAsia="方正仿宋_GBK" w:cs="Times New Roman"/>
          <w:snapToGrid/>
          <w:color w:val="auto"/>
          <w:kern w:val="2"/>
          <w:sz w:val="32"/>
          <w:szCs w:val="32"/>
          <w:highlight w:val="none"/>
          <w:lang w:eastAsia="zh-CN"/>
        </w:rPr>
        <w:t>）。</w:t>
      </w:r>
    </w:p>
    <w:p w14:paraId="6221511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7.12、配合甲方其他专业分包工作。</w:t>
      </w:r>
    </w:p>
    <w:p w14:paraId="187BCC7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7.13、在合同约定时间内，按照施工方案和施工图完成项目施工。</w:t>
      </w:r>
    </w:p>
    <w:p w14:paraId="490E863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7.14、项目完工后，提供竣工报告、竣工图、质保承诺、维保手册和相关资料并获得甲方的接收，配合甲方完成项目竣工验收。</w:t>
      </w:r>
    </w:p>
    <w:p w14:paraId="35C2CBC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第八条  工程管理</w:t>
      </w:r>
    </w:p>
    <w:p w14:paraId="339C3CC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8.1、质量管理</w:t>
      </w:r>
    </w:p>
    <w:p w14:paraId="2CF4C38A">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8.1.1、本工程施工质量标准及验收标准执行国家现行</w:t>
      </w:r>
      <w:r>
        <w:rPr>
          <w:rFonts w:hint="eastAsia" w:ascii="Times New Roman" w:hAnsi="Times New Roman" w:eastAsia="方正仿宋_GBK" w:cs="Times New Roman"/>
          <w:snapToGrid/>
          <w:color w:val="FF0000"/>
          <w:kern w:val="2"/>
          <w:sz w:val="32"/>
          <w:szCs w:val="32"/>
          <w:lang w:eastAsia="zh-CN"/>
        </w:rPr>
        <w:t>《建筑工程施工质量验收统一标准》(GB50300-2013)、《建筑安装工程施工及验收规范》和《建筑安装工程质量检验评定标准》</w:t>
      </w:r>
      <w:r>
        <w:rPr>
          <w:rFonts w:hint="eastAsia" w:ascii="Times New Roman" w:hAnsi="Times New Roman" w:eastAsia="方正仿宋_GBK" w:cs="Times New Roman"/>
          <w:snapToGrid/>
          <w:color w:val="FF0000"/>
          <w:kern w:val="2"/>
          <w:sz w:val="32"/>
          <w:szCs w:val="32"/>
          <w:lang w:val="en-US" w:eastAsia="zh-CN"/>
        </w:rPr>
        <w:t>及重庆市相关现行规范标准，确保一次性验收通过，达到学生公寓使用功能及安全标准。</w:t>
      </w:r>
    </w:p>
    <w:p w14:paraId="6E7B0F2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val="en-US" w:eastAsia="zh-CN"/>
        </w:rPr>
        <w:t>8.1.2、本工程竣工</w:t>
      </w:r>
      <w:r>
        <w:rPr>
          <w:rFonts w:hint="eastAsia" w:ascii="Times New Roman" w:hAnsi="Times New Roman" w:eastAsia="方正仿宋_GBK" w:cs="Times New Roman"/>
          <w:snapToGrid/>
          <w:color w:val="auto"/>
          <w:kern w:val="2"/>
          <w:sz w:val="32"/>
          <w:szCs w:val="32"/>
          <w:highlight w:val="none"/>
          <w:lang w:eastAsia="zh-CN"/>
        </w:rPr>
        <w:t>时工程质量应当达到合同约定的质量标准，质量的评定以国家或行业的质量检验评定标准为依据</w:t>
      </w:r>
      <w:r>
        <w:rPr>
          <w:rFonts w:hint="eastAsia" w:ascii="Times New Roman" w:hAnsi="Times New Roman" w:eastAsia="方正仿宋_GBK" w:cs="Times New Roman"/>
          <w:snapToGrid/>
          <w:color w:val="FF0000"/>
          <w:kern w:val="2"/>
          <w:sz w:val="32"/>
          <w:szCs w:val="32"/>
          <w:highlight w:val="none"/>
          <w:lang w:val="en-US" w:eastAsia="zh-CN"/>
        </w:rPr>
        <w:t>或委托第三方机构进行验收、评定</w:t>
      </w:r>
      <w:r>
        <w:rPr>
          <w:rFonts w:hint="eastAsia" w:ascii="Times New Roman" w:hAnsi="Times New Roman" w:eastAsia="方正仿宋_GBK" w:cs="Times New Roman"/>
          <w:snapToGrid/>
          <w:color w:val="auto"/>
          <w:kern w:val="2"/>
          <w:sz w:val="32"/>
          <w:szCs w:val="32"/>
          <w:highlight w:val="none"/>
          <w:lang w:eastAsia="zh-CN"/>
        </w:rPr>
        <w:t>。因乙方原因质量达不到约定工程质量等级标准者，乙方承担违约责任，违约责任的承担按甲方的管理办法确定；</w:t>
      </w:r>
    </w:p>
    <w:p w14:paraId="2A6EC39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8.1.</w:t>
      </w:r>
      <w:r>
        <w:rPr>
          <w:rFonts w:hint="eastAsia" w:ascii="Times New Roman" w:hAnsi="Times New Roman" w:eastAsia="方正仿宋_GBK" w:cs="Times New Roman"/>
          <w:snapToGrid/>
          <w:color w:val="auto"/>
          <w:kern w:val="2"/>
          <w:sz w:val="32"/>
          <w:szCs w:val="32"/>
          <w:highlight w:val="none"/>
          <w:lang w:val="en-US" w:eastAsia="zh-CN"/>
        </w:rPr>
        <w:t>3</w:t>
      </w:r>
      <w:r>
        <w:rPr>
          <w:rFonts w:hint="eastAsia" w:ascii="Times New Roman" w:hAnsi="Times New Roman" w:eastAsia="方正仿宋_GBK" w:cs="Times New Roman"/>
          <w:snapToGrid/>
          <w:color w:val="auto"/>
          <w:kern w:val="2"/>
          <w:sz w:val="32"/>
          <w:szCs w:val="32"/>
          <w:highlight w:val="none"/>
          <w:lang w:eastAsia="zh-CN"/>
        </w:rPr>
        <w:t>、乙方承担因质量原因产生的一切补救费用及违约责任；</w:t>
      </w:r>
    </w:p>
    <w:p w14:paraId="13B1C98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8.1.</w:t>
      </w:r>
      <w:r>
        <w:rPr>
          <w:rFonts w:hint="eastAsia" w:ascii="Times New Roman" w:hAnsi="Times New Roman" w:eastAsia="方正仿宋_GBK" w:cs="Times New Roman"/>
          <w:snapToGrid/>
          <w:color w:val="auto"/>
          <w:kern w:val="2"/>
          <w:sz w:val="32"/>
          <w:szCs w:val="32"/>
          <w:highlight w:val="none"/>
          <w:lang w:val="en-US" w:eastAsia="zh-CN"/>
        </w:rPr>
        <w:t>4</w:t>
      </w:r>
      <w:r>
        <w:rPr>
          <w:rFonts w:hint="eastAsia" w:ascii="Times New Roman" w:hAnsi="Times New Roman" w:eastAsia="方正仿宋_GBK" w:cs="Times New Roman"/>
          <w:snapToGrid/>
          <w:color w:val="auto"/>
          <w:kern w:val="2"/>
          <w:sz w:val="32"/>
          <w:szCs w:val="32"/>
          <w:highlight w:val="none"/>
          <w:lang w:eastAsia="zh-CN"/>
        </w:rPr>
        <w:t>、乙方承包范围内安装工程均需按国家和地方有关规定</w:t>
      </w:r>
      <w:r>
        <w:rPr>
          <w:rFonts w:hint="eastAsia" w:ascii="Times New Roman" w:hAnsi="Times New Roman" w:eastAsia="方正仿宋_GBK" w:cs="Times New Roman"/>
          <w:snapToGrid/>
          <w:color w:val="auto"/>
          <w:kern w:val="2"/>
          <w:sz w:val="32"/>
          <w:szCs w:val="32"/>
          <w:highlight w:val="none"/>
          <w:lang w:val="en-US" w:eastAsia="zh-CN"/>
        </w:rPr>
        <w:t>验收</w:t>
      </w:r>
      <w:r>
        <w:rPr>
          <w:rFonts w:hint="eastAsia" w:ascii="Times New Roman" w:hAnsi="Times New Roman" w:eastAsia="方正仿宋_GBK" w:cs="Times New Roman"/>
          <w:snapToGrid/>
          <w:color w:val="auto"/>
          <w:kern w:val="2"/>
          <w:sz w:val="32"/>
          <w:szCs w:val="32"/>
          <w:highlight w:val="none"/>
          <w:lang w:eastAsia="zh-CN"/>
        </w:rPr>
        <w:t>，如因乙方原因造成工程质量不合格，乙方应承担全部责任并赔偿损失。</w:t>
      </w:r>
    </w:p>
    <w:p w14:paraId="3DC76BAD">
      <w:pPr>
        <w:widowControl w:val="0"/>
        <w:kinsoku/>
        <w:autoSpaceDE/>
        <w:autoSpaceDN/>
        <w:adjustRightInd/>
        <w:snapToGrid/>
        <w:spacing w:line="560" w:lineRule="exact"/>
        <w:ind w:firstLine="640" w:firstLineChars="200"/>
        <w:jc w:val="both"/>
        <w:textAlignment w:val="auto"/>
        <w:rPr>
          <w:rFonts w:hint="eastAsia" w:ascii="方正楷体_GBK" w:hAnsi="方正楷体_GBK" w:eastAsia="方正楷体_GBK" w:cs="方正楷体_GBK"/>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8.2、进度管理</w:t>
      </w:r>
    </w:p>
    <w:p w14:paraId="6F82032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8.2.1、工期要求：</w:t>
      </w:r>
      <w:r>
        <w:rPr>
          <w:rFonts w:hint="eastAsia" w:ascii="Times New Roman" w:hAnsi="Times New Roman" w:eastAsia="方正仿宋_GBK" w:cs="Times New Roman"/>
          <w:snapToGrid/>
          <w:color w:val="FF0000"/>
          <w:kern w:val="2"/>
          <w:sz w:val="32"/>
          <w:szCs w:val="32"/>
          <w:highlight w:val="none"/>
          <w:lang w:val="en-US" w:eastAsia="zh-CN"/>
        </w:rPr>
        <w:t>按照合同第四条工期执行</w:t>
      </w:r>
      <w:r>
        <w:rPr>
          <w:rFonts w:hint="eastAsia" w:ascii="Times New Roman" w:hAnsi="Times New Roman" w:eastAsia="方正仿宋_GBK" w:cs="Times New Roman"/>
          <w:snapToGrid/>
          <w:color w:val="FF0000"/>
          <w:kern w:val="2"/>
          <w:sz w:val="32"/>
          <w:szCs w:val="32"/>
          <w:highlight w:val="none"/>
          <w:lang w:eastAsia="zh-CN"/>
        </w:rPr>
        <w:t>。</w:t>
      </w:r>
      <w:r>
        <w:rPr>
          <w:rFonts w:hint="eastAsia" w:ascii="Times New Roman" w:hAnsi="Times New Roman" w:eastAsia="方正仿宋_GBK" w:cs="Times New Roman"/>
          <w:snapToGrid/>
          <w:color w:val="auto"/>
          <w:kern w:val="2"/>
          <w:sz w:val="32"/>
          <w:szCs w:val="32"/>
          <w:highlight w:val="none"/>
          <w:lang w:eastAsia="zh-CN"/>
        </w:rPr>
        <w:t>本合同工期依约定的绝对工期计算，若不能按规定时间</w:t>
      </w:r>
      <w:r>
        <w:rPr>
          <w:rFonts w:hint="eastAsia" w:ascii="Times New Roman" w:hAnsi="Times New Roman" w:eastAsia="方正仿宋_GBK" w:cs="Times New Roman"/>
          <w:snapToGrid/>
          <w:color w:val="auto"/>
          <w:kern w:val="2"/>
          <w:sz w:val="32"/>
          <w:szCs w:val="32"/>
          <w:highlight w:val="none"/>
          <w:lang w:val="en-US" w:eastAsia="zh-CN"/>
        </w:rPr>
        <w:t>完工</w:t>
      </w:r>
      <w:r>
        <w:rPr>
          <w:rFonts w:hint="eastAsia" w:ascii="Times New Roman" w:hAnsi="Times New Roman" w:eastAsia="方正仿宋_GBK" w:cs="Times New Roman"/>
          <w:snapToGrid/>
          <w:color w:val="auto"/>
          <w:kern w:val="2"/>
          <w:sz w:val="32"/>
          <w:szCs w:val="32"/>
          <w:highlight w:val="none"/>
          <w:lang w:eastAsia="zh-CN"/>
        </w:rPr>
        <w:t>，每拖延一天，扣违约金</w:t>
      </w:r>
      <w:r>
        <w:rPr>
          <w:rFonts w:hint="eastAsia" w:ascii="Times New Roman" w:hAnsi="Times New Roman" w:eastAsia="方正仿宋_GBK" w:cs="Times New Roman"/>
          <w:snapToGrid/>
          <w:color w:val="FF0000"/>
          <w:kern w:val="2"/>
          <w:sz w:val="32"/>
          <w:szCs w:val="32"/>
          <w:highlight w:val="none"/>
          <w:lang w:val="en-US" w:eastAsia="zh-CN"/>
        </w:rPr>
        <w:t>500</w:t>
      </w:r>
      <w:r>
        <w:rPr>
          <w:rFonts w:hint="eastAsia" w:ascii="Times New Roman" w:hAnsi="Times New Roman" w:eastAsia="方正仿宋_GBK" w:cs="Times New Roman"/>
          <w:snapToGrid/>
          <w:color w:val="FF0000"/>
          <w:kern w:val="2"/>
          <w:sz w:val="32"/>
          <w:szCs w:val="32"/>
          <w:highlight w:val="none"/>
          <w:lang w:eastAsia="zh-CN"/>
        </w:rPr>
        <w:t>元/天</w:t>
      </w:r>
      <w:r>
        <w:rPr>
          <w:rFonts w:hint="eastAsia" w:ascii="Times New Roman" w:hAnsi="Times New Roman" w:eastAsia="方正仿宋_GBK" w:cs="Times New Roman"/>
          <w:snapToGrid/>
          <w:color w:val="auto"/>
          <w:kern w:val="2"/>
          <w:sz w:val="32"/>
          <w:szCs w:val="32"/>
          <w:highlight w:val="none"/>
          <w:lang w:eastAsia="zh-CN"/>
        </w:rPr>
        <w:t>(</w:t>
      </w:r>
      <w:r>
        <w:rPr>
          <w:rFonts w:hint="eastAsia" w:ascii="Times New Roman" w:hAnsi="Times New Roman" w:eastAsia="方正仿宋_GBK" w:cs="Times New Roman"/>
          <w:snapToGrid/>
          <w:color w:val="auto"/>
          <w:kern w:val="2"/>
          <w:sz w:val="32"/>
          <w:szCs w:val="32"/>
          <w:highlight w:val="none"/>
          <w:lang w:val="en-US" w:eastAsia="zh-CN"/>
        </w:rPr>
        <w:t>非乙方原因导致的</w:t>
      </w:r>
      <w:r>
        <w:rPr>
          <w:rFonts w:hint="eastAsia" w:ascii="Times New Roman" w:hAnsi="Times New Roman" w:eastAsia="方正仿宋_GBK" w:cs="Times New Roman"/>
          <w:snapToGrid/>
          <w:color w:val="auto"/>
          <w:kern w:val="2"/>
          <w:sz w:val="32"/>
          <w:szCs w:val="32"/>
          <w:highlight w:val="none"/>
          <w:lang w:eastAsia="zh-CN"/>
        </w:rPr>
        <w:t>除外),因乙方原因工期延误超过10天，甲方有权单方面解除合同，未完工程，甲方有权另行委托其它施工单位承包，乙方应无条件撤离施工现场，结算价款=已完合格工程结算值90%不合格工程返修费用120%,</w:t>
      </w:r>
      <w:r>
        <w:rPr>
          <w:rFonts w:hint="eastAsia" w:ascii="Times New Roman" w:hAnsi="Times New Roman" w:eastAsia="方正仿宋_GBK" w:cs="Times New Roman"/>
          <w:snapToGrid/>
          <w:color w:val="auto"/>
          <w:kern w:val="2"/>
          <w:sz w:val="32"/>
          <w:szCs w:val="32"/>
          <w:highlight w:val="none"/>
          <w:lang w:val="en-US" w:eastAsia="zh-CN"/>
        </w:rPr>
        <w:t>并</w:t>
      </w:r>
      <w:r>
        <w:rPr>
          <w:rFonts w:hint="eastAsia" w:ascii="Times New Roman" w:hAnsi="Times New Roman" w:eastAsia="方正仿宋_GBK" w:cs="Times New Roman"/>
          <w:snapToGrid/>
          <w:color w:val="FF0000"/>
          <w:kern w:val="2"/>
          <w:sz w:val="32"/>
          <w:szCs w:val="32"/>
          <w:highlight w:val="none"/>
          <w:lang w:val="en-US" w:eastAsia="zh-CN"/>
        </w:rPr>
        <w:t>扣除履约保证</w:t>
      </w:r>
      <w:r>
        <w:rPr>
          <w:rFonts w:hint="eastAsia" w:ascii="Times New Roman" w:hAnsi="Times New Roman" w:eastAsia="方正仿宋_GBK" w:cs="Times New Roman"/>
          <w:snapToGrid/>
          <w:color w:val="FF0000"/>
          <w:kern w:val="2"/>
          <w:sz w:val="32"/>
          <w:szCs w:val="32"/>
          <w:highlight w:val="none"/>
          <w:lang w:eastAsia="zh-CN"/>
        </w:rPr>
        <w:t>金</w:t>
      </w:r>
      <w:r>
        <w:rPr>
          <w:rFonts w:hint="eastAsia" w:ascii="Times New Roman" w:hAnsi="Times New Roman" w:eastAsia="方正仿宋_GBK" w:cs="Times New Roman"/>
          <w:snapToGrid/>
          <w:color w:val="auto"/>
          <w:kern w:val="2"/>
          <w:sz w:val="32"/>
          <w:szCs w:val="32"/>
          <w:highlight w:val="none"/>
          <w:lang w:eastAsia="zh-CN"/>
        </w:rPr>
        <w:t>。因甲方原因造成的工期延误工期顺延。</w:t>
      </w:r>
    </w:p>
    <w:p w14:paraId="5A94120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8.2.2、因不可抗力导致的费用和责任由双方按照如下原则承担：建筑物本身的损害在经甲方验收合格后的部分由甲方承担，但因乙方未采取相应措施，导致损害扩大的，责任由乙方承担。人员伤亡及各种设施损失由其所属单位承担。由于不可抗力导致停工的，停工期间乙方的损失由乙方负责承担。</w:t>
      </w:r>
    </w:p>
    <w:p w14:paraId="4A7083D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8.2.3、乙方不能满足甲方进度</w:t>
      </w:r>
      <w:r>
        <w:rPr>
          <w:rFonts w:hint="eastAsia" w:ascii="Times New Roman" w:hAnsi="Times New Roman" w:eastAsia="方正仿宋_GBK" w:cs="Times New Roman"/>
          <w:snapToGrid/>
          <w:color w:val="auto"/>
          <w:kern w:val="2"/>
          <w:sz w:val="32"/>
          <w:szCs w:val="32"/>
          <w:highlight w:val="none"/>
          <w:lang w:val="en-US" w:eastAsia="zh-CN"/>
        </w:rPr>
        <w:t>要求</w:t>
      </w:r>
      <w:r>
        <w:rPr>
          <w:rFonts w:hint="eastAsia" w:ascii="Times New Roman" w:hAnsi="Times New Roman" w:eastAsia="方正仿宋_GBK" w:cs="Times New Roman"/>
          <w:snapToGrid/>
          <w:color w:val="auto"/>
          <w:kern w:val="2"/>
          <w:sz w:val="32"/>
          <w:szCs w:val="32"/>
          <w:highlight w:val="none"/>
          <w:lang w:eastAsia="zh-CN"/>
        </w:rPr>
        <w:t>时，甲方还有权要求乙方增加人力、物力以满足工期要求，如乙方无力按甲方要求实施，则甲方有权派其他人员增援乙方工作，其增援的费用甲方按照实际支付费用120%在拟支付乙方的工程款中扣除。</w:t>
      </w:r>
    </w:p>
    <w:p w14:paraId="6A93D6C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w:t>
      </w:r>
      <w:r>
        <w:rPr>
          <w:rFonts w:hint="eastAsia" w:ascii="Times New Roman" w:hAnsi="Times New Roman" w:eastAsia="方正仿宋_GBK" w:cs="Times New Roman"/>
          <w:snapToGrid/>
          <w:color w:val="auto"/>
          <w:kern w:val="2"/>
          <w:sz w:val="32"/>
          <w:szCs w:val="32"/>
          <w:highlight w:val="none"/>
          <w:lang w:val="en-US" w:eastAsia="zh-CN"/>
        </w:rPr>
        <w:t>4</w:t>
      </w:r>
      <w:r>
        <w:rPr>
          <w:rFonts w:hint="eastAsia" w:ascii="Times New Roman" w:hAnsi="Times New Roman" w:eastAsia="方正仿宋_GBK" w:cs="Times New Roman"/>
          <w:snapToGrid/>
          <w:color w:val="auto"/>
          <w:kern w:val="2"/>
          <w:sz w:val="32"/>
          <w:szCs w:val="32"/>
          <w:highlight w:val="none"/>
          <w:lang w:eastAsia="zh-CN"/>
        </w:rPr>
        <w:t>、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14:paraId="52A7509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方正仿宋_GBK" w:cs="Times New Roman"/>
          <w:snapToGrid/>
          <w:color w:val="000000" w:themeColor="text1"/>
          <w:kern w:val="2"/>
          <w:sz w:val="32"/>
          <w:szCs w:val="32"/>
          <w:highlight w:val="none"/>
          <w:lang w:eastAsia="zh-CN"/>
          <w14:textFill>
            <w14:solidFill>
              <w14:schemeClr w14:val="tx1"/>
            </w14:solidFill>
          </w14:textFill>
        </w:rPr>
        <w:t>8.2.</w:t>
      </w:r>
      <w:r>
        <w:rPr>
          <w:rFonts w:hint="eastAsia" w:ascii="Times New Roman" w:hAnsi="Times New Roman" w:eastAsia="方正仿宋_GBK" w:cs="Times New Roman"/>
          <w:snapToGrid/>
          <w:color w:val="000000" w:themeColor="text1"/>
          <w:kern w:val="2"/>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snapToGrid/>
          <w:color w:val="000000" w:themeColor="text1"/>
          <w:kern w:val="2"/>
          <w:sz w:val="32"/>
          <w:szCs w:val="32"/>
          <w:highlight w:val="none"/>
          <w:lang w:eastAsia="zh-CN"/>
          <w14:textFill>
            <w14:solidFill>
              <w14:schemeClr w14:val="tx1"/>
            </w14:solidFill>
          </w14:textFill>
        </w:rPr>
        <w:t>、本合同的建设工程项目停建或缓建后(除乙方原因不能履行合同义务的),甲方应书面通知乙方，甲方均不得以任何理由对乙方所做合格工程拒绝结算。</w:t>
      </w:r>
    </w:p>
    <w:p w14:paraId="71A7284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w:t>
      </w:r>
      <w:r>
        <w:rPr>
          <w:rFonts w:hint="eastAsia" w:ascii="Times New Roman" w:hAnsi="Times New Roman" w:eastAsia="方正仿宋_GBK" w:cs="Times New Roman"/>
          <w:snapToGrid/>
          <w:color w:val="auto"/>
          <w:kern w:val="2"/>
          <w:sz w:val="32"/>
          <w:szCs w:val="32"/>
          <w:highlight w:val="none"/>
          <w:lang w:val="en-US" w:eastAsia="zh-CN"/>
        </w:rPr>
        <w:t>6</w:t>
      </w:r>
      <w:r>
        <w:rPr>
          <w:rFonts w:hint="eastAsia" w:ascii="Times New Roman" w:hAnsi="Times New Roman" w:eastAsia="方正仿宋_GBK" w:cs="Times New Roman"/>
          <w:snapToGrid/>
          <w:color w:val="auto"/>
          <w:kern w:val="2"/>
          <w:sz w:val="32"/>
          <w:szCs w:val="32"/>
          <w:highlight w:val="none"/>
          <w:lang w:eastAsia="zh-CN"/>
        </w:rPr>
        <w:t>、甲方应为乙方撤出工地提供必要的条件。</w:t>
      </w:r>
    </w:p>
    <w:p w14:paraId="058D009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w:t>
      </w:r>
      <w:r>
        <w:rPr>
          <w:rFonts w:hint="eastAsia" w:ascii="Times New Roman" w:hAnsi="Times New Roman" w:eastAsia="方正仿宋_GBK" w:cs="Times New Roman"/>
          <w:snapToGrid/>
          <w:color w:val="auto"/>
          <w:kern w:val="2"/>
          <w:sz w:val="32"/>
          <w:szCs w:val="32"/>
          <w:highlight w:val="none"/>
          <w:lang w:val="en-US" w:eastAsia="zh-CN"/>
        </w:rPr>
        <w:t>7</w:t>
      </w:r>
      <w:r>
        <w:rPr>
          <w:rFonts w:hint="eastAsia" w:ascii="Times New Roman" w:hAnsi="Times New Roman" w:eastAsia="方正仿宋_GBK" w:cs="Times New Roman"/>
          <w:snapToGrid/>
          <w:color w:val="auto"/>
          <w:kern w:val="2"/>
          <w:sz w:val="32"/>
          <w:szCs w:val="32"/>
          <w:highlight w:val="none"/>
          <w:lang w:eastAsia="zh-CN"/>
        </w:rPr>
        <w:t>、因乙方原因导致工程停建或缓建超过</w:t>
      </w:r>
      <w:r>
        <w:rPr>
          <w:rFonts w:hint="eastAsia" w:ascii="Times New Roman" w:hAnsi="Times New Roman" w:eastAsia="方正仿宋_GBK" w:cs="Times New Roman"/>
          <w:snapToGrid/>
          <w:color w:val="FF0000"/>
          <w:kern w:val="2"/>
          <w:sz w:val="32"/>
          <w:szCs w:val="32"/>
          <w:highlight w:val="none"/>
          <w:lang w:eastAsia="zh-CN"/>
        </w:rPr>
        <w:t>十日</w:t>
      </w:r>
      <w:r>
        <w:rPr>
          <w:rFonts w:hint="eastAsia" w:ascii="Times New Roman" w:hAnsi="Times New Roman" w:eastAsia="方正仿宋_GBK" w:cs="Times New Roman"/>
          <w:snapToGrid/>
          <w:color w:val="auto"/>
          <w:kern w:val="2"/>
          <w:sz w:val="32"/>
          <w:szCs w:val="32"/>
          <w:highlight w:val="none"/>
          <w:lang w:eastAsia="zh-CN"/>
        </w:rPr>
        <w:t>，除承担全部责任外，甲方有权解除合同。</w:t>
      </w:r>
    </w:p>
    <w:p w14:paraId="1041C4A8">
      <w:pPr>
        <w:widowControl w:val="0"/>
        <w:kinsoku/>
        <w:autoSpaceDE/>
        <w:autoSpaceDN/>
        <w:adjustRightInd/>
        <w:snapToGrid/>
        <w:spacing w:line="560" w:lineRule="exact"/>
        <w:ind w:firstLine="640" w:firstLineChars="200"/>
        <w:jc w:val="both"/>
        <w:textAlignment w:val="auto"/>
        <w:rPr>
          <w:rFonts w:ascii="方正楷体_GBK" w:hAnsi="方正楷体_GBK" w:eastAsia="方正楷体_GBK" w:cs="方正楷体_GBK"/>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8.3、安全管理</w:t>
      </w:r>
    </w:p>
    <w:p w14:paraId="14E9593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8.3.1、工程开工前，乙方必须做好安全交底，乙方必须认真贯彻有关安全施工的规章制度，严格遵守安全操作规程，因乙方原因造成施工中的一切安全责任事故其损失由乙方自行负责，因安全责任事故所致乙方对甲方/第三人/乙方工人的赔偿责任，乙方应当积极妥善解决，否则，甲方有权从本合同结算工程款中抵扣相应款项以赔偿被侵权人。</w:t>
      </w:r>
    </w:p>
    <w:p w14:paraId="3E5CF20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8.3.2、在施工过程中，乙方因违反</w:t>
      </w:r>
      <w:r>
        <w:rPr>
          <w:rFonts w:hint="eastAsia" w:ascii="Times New Roman" w:hAnsi="Times New Roman" w:eastAsia="方正仿宋_GBK" w:cs="Times New Roman"/>
          <w:snapToGrid/>
          <w:color w:val="FF0000"/>
          <w:kern w:val="2"/>
          <w:sz w:val="32"/>
          <w:szCs w:val="32"/>
          <w:highlight w:val="none"/>
          <w:lang w:val="en-US" w:eastAsia="zh-CN"/>
        </w:rPr>
        <w:t>安装</w:t>
      </w:r>
      <w:r>
        <w:rPr>
          <w:rFonts w:hint="eastAsia" w:ascii="Times New Roman" w:hAnsi="Times New Roman" w:eastAsia="方正仿宋_GBK" w:cs="Times New Roman"/>
          <w:snapToGrid/>
          <w:color w:val="FF0000"/>
          <w:kern w:val="2"/>
          <w:sz w:val="32"/>
          <w:szCs w:val="32"/>
          <w:highlight w:val="none"/>
          <w:lang w:eastAsia="zh-CN"/>
        </w:rPr>
        <w:t>规范或国家相关法律法规</w:t>
      </w:r>
      <w:r>
        <w:rPr>
          <w:rFonts w:hint="eastAsia" w:ascii="Times New Roman" w:hAnsi="Times New Roman" w:eastAsia="方正仿宋_GBK" w:cs="Times New Roman"/>
          <w:snapToGrid/>
          <w:color w:val="auto"/>
          <w:kern w:val="2"/>
          <w:sz w:val="32"/>
          <w:szCs w:val="32"/>
          <w:highlight w:val="none"/>
          <w:lang w:eastAsia="zh-CN"/>
        </w:rPr>
        <w:t>造成的事故，由乙方全部负责。</w:t>
      </w:r>
    </w:p>
    <w:p w14:paraId="61E63155">
      <w:pPr>
        <w:widowControl w:val="0"/>
        <w:kinsoku/>
        <w:autoSpaceDE/>
        <w:autoSpaceDN/>
        <w:adjustRightInd/>
        <w:snapToGrid/>
        <w:spacing w:line="560" w:lineRule="exact"/>
        <w:ind w:firstLine="640" w:firstLineChars="200"/>
        <w:jc w:val="both"/>
        <w:textAlignment w:val="auto"/>
        <w:rPr>
          <w:rFonts w:ascii="方正楷体_GBK" w:hAnsi="方正楷体_GBK" w:eastAsia="方正楷体_GBK" w:cs="方正楷体_GBK"/>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8.4、文档管理</w:t>
      </w:r>
    </w:p>
    <w:p w14:paraId="2FEF98D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8.4.1、进场的材料和设备必须提供完整的证明资料、</w:t>
      </w:r>
      <w:r>
        <w:rPr>
          <w:rFonts w:hint="eastAsia" w:ascii="Times New Roman" w:hAnsi="Times New Roman" w:eastAsia="方正仿宋_GBK" w:cs="Times New Roman"/>
          <w:snapToGrid/>
          <w:color w:val="auto"/>
          <w:kern w:val="2"/>
          <w:sz w:val="32"/>
          <w:szCs w:val="32"/>
          <w:highlight w:val="none"/>
          <w:lang w:val="en-US" w:eastAsia="zh-CN"/>
        </w:rPr>
        <w:t>甲方</w:t>
      </w:r>
      <w:r>
        <w:rPr>
          <w:rFonts w:hint="eastAsia" w:ascii="Times New Roman" w:hAnsi="Times New Roman" w:eastAsia="方正仿宋_GBK" w:cs="Times New Roman"/>
          <w:snapToGrid/>
          <w:color w:val="auto"/>
          <w:kern w:val="2"/>
          <w:sz w:val="32"/>
          <w:szCs w:val="32"/>
          <w:highlight w:val="none"/>
          <w:lang w:eastAsia="zh-CN"/>
        </w:rPr>
        <w:t>报验手续。</w:t>
      </w:r>
    </w:p>
    <w:p w14:paraId="7306417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8.4.2、项目的各分项任务(含隐蔽工程等)自检合格后，完成</w:t>
      </w:r>
      <w:r>
        <w:rPr>
          <w:rFonts w:hint="eastAsia" w:ascii="Times New Roman" w:hAnsi="Times New Roman" w:eastAsia="方正仿宋_GBK" w:cs="Times New Roman"/>
          <w:snapToGrid/>
          <w:color w:val="auto"/>
          <w:kern w:val="2"/>
          <w:sz w:val="32"/>
          <w:szCs w:val="32"/>
          <w:highlight w:val="none"/>
          <w:lang w:val="en-US" w:eastAsia="zh-CN"/>
        </w:rPr>
        <w:t>甲方</w:t>
      </w:r>
      <w:r>
        <w:rPr>
          <w:rFonts w:hint="eastAsia" w:ascii="Times New Roman" w:hAnsi="Times New Roman" w:eastAsia="方正仿宋_GBK" w:cs="Times New Roman"/>
          <w:snapToGrid/>
          <w:color w:val="auto"/>
          <w:kern w:val="2"/>
          <w:sz w:val="32"/>
          <w:szCs w:val="32"/>
          <w:highlight w:val="none"/>
          <w:lang w:eastAsia="zh-CN"/>
        </w:rPr>
        <w:t>报验手续。</w:t>
      </w:r>
    </w:p>
    <w:p w14:paraId="4E59A67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8.4.3、现场施工管理乙方人员要严格遵守现场各项管理制度，按合同要求完成有关计划、进度、材料供应等工作。项目验收前，乙方必须将项目的过程及竣工相关资料一并移交给甲方，并配合甲方进行项目验收工作。</w:t>
      </w:r>
    </w:p>
    <w:p w14:paraId="184F6D9B">
      <w:pPr>
        <w:widowControl w:val="0"/>
        <w:kinsoku/>
        <w:autoSpaceDE/>
        <w:autoSpaceDN/>
        <w:adjustRightInd/>
        <w:snapToGrid/>
        <w:spacing w:line="560" w:lineRule="exact"/>
        <w:ind w:firstLine="640" w:firstLineChars="200"/>
        <w:jc w:val="both"/>
        <w:textAlignment w:val="auto"/>
        <w:rPr>
          <w:rFonts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第九条  材料设备的验收</w:t>
      </w:r>
    </w:p>
    <w:p w14:paraId="7C0C7BF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9.1、</w:t>
      </w:r>
      <w:r>
        <w:rPr>
          <w:rFonts w:hint="eastAsia" w:ascii="Times New Roman" w:hAnsi="Times New Roman" w:eastAsia="方正仿宋_GBK" w:cs="Times New Roman"/>
          <w:snapToGrid/>
          <w:color w:val="FF0000"/>
          <w:kern w:val="2"/>
          <w:sz w:val="32"/>
          <w:szCs w:val="32"/>
          <w:highlight w:val="none"/>
          <w:lang w:eastAsia="zh-CN"/>
        </w:rPr>
        <w:t>所有进场的设备、材料、乙方都必须提供其出厂合格证、</w:t>
      </w:r>
      <w:r>
        <w:rPr>
          <w:rFonts w:hint="eastAsia" w:ascii="Times New Roman" w:hAnsi="Times New Roman" w:eastAsia="方正仿宋_GBK" w:cs="Times New Roman"/>
          <w:snapToGrid/>
          <w:color w:val="FF0000"/>
          <w:kern w:val="2"/>
          <w:sz w:val="32"/>
          <w:szCs w:val="32"/>
          <w:highlight w:val="none"/>
          <w:lang w:val="en-US" w:eastAsia="zh-CN"/>
        </w:rPr>
        <w:t>出厂检验报告</w:t>
      </w:r>
      <w:r>
        <w:rPr>
          <w:rFonts w:hint="eastAsia" w:ascii="Times New Roman" w:hAnsi="Times New Roman" w:eastAsia="方正仿宋_GBK" w:cs="Times New Roman"/>
          <w:snapToGrid/>
          <w:color w:val="FF0000"/>
          <w:kern w:val="2"/>
          <w:sz w:val="32"/>
          <w:szCs w:val="32"/>
          <w:highlight w:val="none"/>
          <w:lang w:eastAsia="zh-CN"/>
        </w:rPr>
        <w:t>及设备使用说明书（</w:t>
      </w:r>
      <w:r>
        <w:rPr>
          <w:rFonts w:hint="eastAsia" w:ascii="Times New Roman" w:hAnsi="Times New Roman" w:eastAsia="方正仿宋_GBK" w:cs="Times New Roman"/>
          <w:snapToGrid/>
          <w:color w:val="FF0000"/>
          <w:kern w:val="2"/>
          <w:sz w:val="32"/>
          <w:szCs w:val="32"/>
          <w:highlight w:val="none"/>
          <w:lang w:val="en-US" w:eastAsia="zh-CN"/>
        </w:rPr>
        <w:t>具体资料以产品实际为准</w:t>
      </w:r>
      <w:r>
        <w:rPr>
          <w:rFonts w:hint="eastAsia" w:ascii="Times New Roman" w:hAnsi="Times New Roman" w:eastAsia="方正仿宋_GBK" w:cs="Times New Roman"/>
          <w:snapToGrid/>
          <w:color w:val="FF0000"/>
          <w:kern w:val="2"/>
          <w:sz w:val="32"/>
          <w:szCs w:val="32"/>
          <w:highlight w:val="none"/>
          <w:lang w:eastAsia="zh-CN"/>
        </w:rPr>
        <w:t>）。</w:t>
      </w:r>
    </w:p>
    <w:p w14:paraId="43DFEA4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9.2、乙方应在设备、材料进场24小时前通知甲方代表及其他相关人员验收。</w:t>
      </w:r>
    </w:p>
    <w:p w14:paraId="1DE0A08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 xml:space="preserve">第十条 </w:t>
      </w:r>
      <w:r>
        <w:rPr>
          <w:rFonts w:hint="eastAsia" w:ascii="方正黑体_GBK" w:hAnsi="方正黑体_GBK" w:eastAsia="方正黑体_GBK" w:cs="方正黑体_GBK"/>
          <w:snapToGrid/>
          <w:color w:val="auto"/>
          <w:kern w:val="2"/>
          <w:sz w:val="32"/>
          <w:szCs w:val="32"/>
          <w:highlight w:val="none"/>
          <w:lang w:val="en-US" w:eastAsia="zh-CN"/>
        </w:rPr>
        <w:t xml:space="preserve"> </w:t>
      </w:r>
      <w:r>
        <w:rPr>
          <w:rFonts w:hint="eastAsia" w:ascii="方正黑体_GBK" w:hAnsi="方正黑体_GBK" w:eastAsia="方正黑体_GBK" w:cs="方正黑体_GBK"/>
          <w:snapToGrid/>
          <w:color w:val="auto"/>
          <w:kern w:val="2"/>
          <w:sz w:val="32"/>
          <w:szCs w:val="32"/>
          <w:highlight w:val="none"/>
          <w:lang w:eastAsia="zh-CN"/>
        </w:rPr>
        <w:t>竣工验收结算</w:t>
      </w:r>
    </w:p>
    <w:p w14:paraId="7DC980F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10.1、</w:t>
      </w:r>
      <w:r>
        <w:rPr>
          <w:rFonts w:hint="eastAsia" w:ascii="Times New Roman" w:hAnsi="Times New Roman" w:eastAsia="方正仿宋_GBK" w:cs="Times New Roman"/>
          <w:snapToGrid/>
          <w:color w:val="auto"/>
          <w:kern w:val="2"/>
          <w:sz w:val="32"/>
          <w:szCs w:val="32"/>
          <w:highlight w:val="none"/>
          <w:lang w:val="en-US" w:eastAsia="zh-CN"/>
        </w:rPr>
        <w:t>全部工程完工经甲方验收合格，乙方报送包干总价的结算资料至甲方进行审核（包括施工隐蔽图片、材料报验单、合同、包干总价结算申请单）。</w:t>
      </w:r>
      <w:r>
        <w:rPr>
          <w:rFonts w:hint="eastAsia" w:ascii="Times New Roman" w:hAnsi="Times New Roman" w:eastAsia="方正仿宋_GBK" w:cs="Times New Roman"/>
          <w:snapToGrid/>
          <w:color w:val="auto"/>
          <w:kern w:val="2"/>
          <w:sz w:val="32"/>
          <w:szCs w:val="32"/>
          <w:highlight w:val="none"/>
          <w:lang w:eastAsia="zh-CN"/>
        </w:rPr>
        <w:t>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14:paraId="04A8285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第十一条  保修</w:t>
      </w:r>
    </w:p>
    <w:p w14:paraId="2389434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11.1、保修内容和范围：乙方完成的全部工程，不包括不可抗力及人为因素引起的质量问题。质保期届满后乙方长期优惠提供质保期外的服务，并优惠提供配套零配件。</w:t>
      </w:r>
    </w:p>
    <w:p w14:paraId="60D890D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11.2、</w:t>
      </w:r>
      <w:r>
        <w:rPr>
          <w:rFonts w:hint="eastAsia" w:ascii="Times New Roman" w:hAnsi="Times New Roman" w:eastAsia="方正仿宋_GBK" w:cs="Times New Roman"/>
          <w:snapToGrid/>
          <w:color w:val="FF0000"/>
          <w:kern w:val="2"/>
          <w:sz w:val="32"/>
          <w:szCs w:val="32"/>
          <w:highlight w:val="none"/>
          <w:lang w:eastAsia="zh-CN"/>
        </w:rPr>
        <w:t>本工程质量缺陷责任期为</w:t>
      </w:r>
      <w:r>
        <w:rPr>
          <w:rFonts w:hint="eastAsia" w:ascii="Times New Roman" w:hAnsi="Times New Roman" w:eastAsia="方正仿宋_GBK" w:cs="Times New Roman"/>
          <w:snapToGrid/>
          <w:color w:val="FF0000"/>
          <w:kern w:val="2"/>
          <w:sz w:val="32"/>
          <w:szCs w:val="32"/>
          <w:highlight w:val="none"/>
          <w:lang w:val="en-US" w:eastAsia="zh-CN"/>
        </w:rPr>
        <w:t>2</w:t>
      </w:r>
      <w:r>
        <w:rPr>
          <w:rFonts w:hint="eastAsia" w:ascii="Times New Roman" w:hAnsi="Times New Roman" w:eastAsia="方正仿宋_GBK" w:cs="Times New Roman"/>
          <w:snapToGrid/>
          <w:color w:val="FF0000"/>
          <w:kern w:val="2"/>
          <w:sz w:val="32"/>
          <w:szCs w:val="32"/>
          <w:highlight w:val="none"/>
          <w:lang w:eastAsia="zh-CN"/>
        </w:rPr>
        <w:t>年，</w:t>
      </w:r>
      <w:r>
        <w:rPr>
          <w:rFonts w:hint="eastAsia" w:ascii="Times New Roman" w:hAnsi="Times New Roman" w:eastAsia="方正仿宋_GBK" w:cs="Times New Roman"/>
          <w:snapToGrid/>
          <w:color w:val="FF0000"/>
          <w:kern w:val="2"/>
          <w:sz w:val="32"/>
          <w:szCs w:val="32"/>
          <w:highlight w:val="none"/>
          <w:lang w:val="en-US" w:eastAsia="zh-CN"/>
        </w:rPr>
        <w:t>质保金为审定结算金额的3％</w:t>
      </w:r>
      <w:r>
        <w:rPr>
          <w:rFonts w:hint="eastAsia" w:ascii="Times New Roman" w:hAnsi="Times New Roman" w:eastAsia="方正仿宋_GBK" w:cs="Times New Roman"/>
          <w:snapToGrid/>
          <w:color w:val="auto"/>
          <w:kern w:val="2"/>
          <w:sz w:val="32"/>
          <w:szCs w:val="32"/>
          <w:highlight w:val="none"/>
          <w:lang w:eastAsia="zh-CN"/>
        </w:rPr>
        <w:t>。</w:t>
      </w:r>
    </w:p>
    <w:p w14:paraId="4462281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11.3、在保修期内任何时候，乙方应在接到甲方修理通知后24小时内进行修理，认真负责完成保修任务，否则甲方有权另行安排人员进行修理，维修费用由乙方承担，同时甲方有权安排其他施工单位进行处理，所发生的一切费用(取费按当时的市场价上浮30%)由乙方承担，且本工程的整体保修责任继续由乙方承担，直至保修期结束。维修费及管理费从保修金中抵扣，不足部分向乙方追偿。</w:t>
      </w:r>
    </w:p>
    <w:p w14:paraId="29B1F22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第十二条  争议解决</w:t>
      </w:r>
    </w:p>
    <w:p w14:paraId="3A3679A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12.1、争议解决方式：(1)协商解决；(2)司法程序。</w:t>
      </w:r>
    </w:p>
    <w:p w14:paraId="203CEC5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12.2、如协商解决无果时，可向工程所在地人民法院提起诉讼。</w:t>
      </w:r>
    </w:p>
    <w:p w14:paraId="49078E2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第十三条  违约责任</w:t>
      </w:r>
    </w:p>
    <w:p w14:paraId="7BA39EC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13.1、任何一方违反本合同约定，使本合同条款、相关协议丧失履行条件，视为完全违约，违约方需赔偿另一方因此而造成的全部直接损失，且无过错方有权终止合同。</w:t>
      </w:r>
    </w:p>
    <w:p w14:paraId="6B6ACDF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13.2、如乙方因自身原因不能按期完成竣工验收，乙方应每天按合同总金额的万分之三向甲方支付违约金。</w:t>
      </w:r>
    </w:p>
    <w:p w14:paraId="5A2763F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在支付工程进度款前，甲方有关部门对乙方所完成分部分项工程的质量、工期、安全生产、文明施工等进行评定并实行打分制。如在每阶段的评定中出现质量问题、工期延误、违反安全条款、不符合文明施工、材料浪费等现象者，乙方按照如下方式向甲方支付违约金和承担违约责任。</w:t>
      </w:r>
    </w:p>
    <w:p w14:paraId="09560E0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13.3.1质量：若乙方的质量问题导致工程的分部分项验收达不到合格标准者，甲方有权对乙方按</w:t>
      </w:r>
      <w:r>
        <w:rPr>
          <w:rFonts w:hint="eastAsia" w:ascii="Times New Roman" w:hAnsi="Times New Roman" w:eastAsia="方正仿宋_GBK" w:cs="Times New Roman"/>
          <w:snapToGrid/>
          <w:color w:val="auto"/>
          <w:kern w:val="2"/>
          <w:sz w:val="32"/>
          <w:szCs w:val="32"/>
          <w:highlight w:val="none"/>
          <w:lang w:val="en-US" w:eastAsia="zh-CN"/>
        </w:rPr>
        <w:t>5</w:t>
      </w:r>
      <w:r>
        <w:rPr>
          <w:rFonts w:hint="eastAsia" w:ascii="Times New Roman" w:hAnsi="Times New Roman" w:eastAsia="方正仿宋_GBK" w:cs="Times New Roman"/>
          <w:snapToGrid/>
          <w:color w:val="auto"/>
          <w:kern w:val="2"/>
          <w:sz w:val="32"/>
          <w:szCs w:val="32"/>
          <w:highlight w:val="none"/>
          <w:lang w:eastAsia="zh-CN"/>
        </w:rPr>
        <w:t>00-1000元/项处以罚款，具体数额由甲方根据实际情况确定，罚款在当次进度款中予以扣除。如果本工程质量达不到国家验收合格标准的，乙方除无条件返工至合格外，还须按照工程总造价的</w:t>
      </w:r>
      <w:r>
        <w:rPr>
          <w:rFonts w:hint="eastAsia" w:ascii="Times New Roman" w:hAnsi="Times New Roman" w:eastAsia="方正仿宋_GBK" w:cs="Times New Roman"/>
          <w:snapToGrid/>
          <w:color w:val="auto"/>
          <w:kern w:val="2"/>
          <w:sz w:val="32"/>
          <w:szCs w:val="32"/>
          <w:highlight w:val="none"/>
          <w:lang w:val="en-US" w:eastAsia="zh-CN"/>
        </w:rPr>
        <w:t>3</w:t>
      </w:r>
      <w:r>
        <w:rPr>
          <w:rFonts w:hint="eastAsia" w:ascii="Times New Roman" w:hAnsi="Times New Roman" w:eastAsia="方正仿宋_GBK" w:cs="Times New Roman"/>
          <w:snapToGrid/>
          <w:color w:val="auto"/>
          <w:kern w:val="2"/>
          <w:sz w:val="32"/>
          <w:szCs w:val="32"/>
          <w:highlight w:val="none"/>
          <w:lang w:eastAsia="zh-CN"/>
        </w:rPr>
        <w:t>%向甲方支付违约金，该款项从乙方工程结算款中扣除。同时造成的损失费用及返工所需的甲方材料费由乙方承担，工期不予顺延。</w:t>
      </w:r>
    </w:p>
    <w:p w14:paraId="0E0A1D6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13.3.2安全文明施工：乙方在施工过程中若出现违反国家相关法律法规及本合同中的安</w:t>
      </w:r>
      <w:r>
        <w:rPr>
          <w:rFonts w:hint="eastAsia" w:ascii="Times New Roman" w:hAnsi="Times New Roman" w:eastAsia="方正仿宋_GBK" w:cs="Times New Roman"/>
          <w:snapToGrid/>
          <w:color w:val="auto"/>
          <w:kern w:val="2"/>
          <w:sz w:val="32"/>
          <w:szCs w:val="32"/>
          <w:highlight w:val="none"/>
          <w:lang w:val="en-US" w:eastAsia="zh-CN"/>
        </w:rPr>
        <w:t>全</w:t>
      </w:r>
      <w:r>
        <w:rPr>
          <w:rFonts w:hint="eastAsia" w:ascii="Times New Roman" w:hAnsi="Times New Roman" w:eastAsia="方正仿宋_GBK" w:cs="Times New Roman"/>
          <w:snapToGrid/>
          <w:color w:val="auto"/>
          <w:kern w:val="2"/>
          <w:sz w:val="32"/>
          <w:szCs w:val="32"/>
          <w:highlight w:val="none"/>
          <w:lang w:eastAsia="zh-CN"/>
        </w:rPr>
        <w:t>文明施工要求的，甲方有权视情况对乙方进行500-</w:t>
      </w:r>
      <w:r>
        <w:rPr>
          <w:rFonts w:hint="eastAsia" w:ascii="Times New Roman" w:hAnsi="Times New Roman" w:eastAsia="方正仿宋_GBK" w:cs="Times New Roman"/>
          <w:snapToGrid/>
          <w:color w:val="auto"/>
          <w:kern w:val="2"/>
          <w:sz w:val="32"/>
          <w:szCs w:val="32"/>
          <w:highlight w:val="none"/>
          <w:lang w:val="en-US" w:eastAsia="zh-CN"/>
        </w:rPr>
        <w:t>10</w:t>
      </w:r>
      <w:r>
        <w:rPr>
          <w:rFonts w:hint="eastAsia" w:ascii="Times New Roman" w:hAnsi="Times New Roman" w:eastAsia="方正仿宋_GBK" w:cs="Times New Roman"/>
          <w:snapToGrid/>
          <w:color w:val="auto"/>
          <w:kern w:val="2"/>
          <w:sz w:val="32"/>
          <w:szCs w:val="32"/>
          <w:highlight w:val="none"/>
          <w:lang w:eastAsia="zh-CN"/>
        </w:rPr>
        <w:t>000元的处罚。</w:t>
      </w:r>
    </w:p>
    <w:p w14:paraId="15F2FFF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13.3.3乙方应当按照甲方的施工内容进行施工，不得拒绝任何单项工程施工或中途甩项，否则甲方有权按相应条款中的三倍价格另行发包处理，相关费用在乙方工程款中扣除。</w:t>
      </w:r>
    </w:p>
    <w:p w14:paraId="475B318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13.3.4属于乙方工作范围内的有关收尾工作，经甲方现场施工人员口头或书面通知进行整改或完善有关工作后，乙方应在24个小时内组织整改，否则甲方有权委派其他班组进行施工，其费用按实际发生的费用另加50%罚款在支付乙方进度款时扣除。</w:t>
      </w:r>
    </w:p>
    <w:p w14:paraId="610B8B1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13.3.5无论任何原因，若有乙方人员影响甲方工作和生产的正常秩序、造成不良社会影响的，甲方有权解除合同，乙方应在接到甲方解除合同通知后2天内无条件退场。并赔偿甲方因此受到的损失。</w:t>
      </w:r>
    </w:p>
    <w:p w14:paraId="5C5B500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13.3.6进场全体职工必须</w:t>
      </w:r>
      <w:r>
        <w:rPr>
          <w:rFonts w:hint="eastAsia" w:ascii="Times New Roman" w:hAnsi="Times New Roman" w:eastAsia="方正仿宋_GBK" w:cs="Times New Roman"/>
          <w:snapToGrid/>
          <w:color w:val="auto"/>
          <w:kern w:val="2"/>
          <w:sz w:val="32"/>
          <w:szCs w:val="32"/>
          <w:highlight w:val="none"/>
          <w:lang w:val="en-US" w:eastAsia="zh-CN"/>
        </w:rPr>
        <w:t>持证上岗，</w:t>
      </w:r>
      <w:r>
        <w:rPr>
          <w:rFonts w:hint="eastAsia" w:ascii="Times New Roman" w:hAnsi="Times New Roman" w:eastAsia="方正仿宋_GBK" w:cs="Times New Roman"/>
          <w:snapToGrid/>
          <w:color w:val="auto"/>
          <w:kern w:val="2"/>
          <w:sz w:val="32"/>
          <w:szCs w:val="32"/>
          <w:highlight w:val="none"/>
          <w:lang w:eastAsia="zh-CN"/>
        </w:rPr>
        <w:t>遵章守纪，无违章指挥、违章作业行为。各级管理人员佩带证明其身份的证卡。甲方检查，若承包人未按要求佩戴安全帽，则按100元/人/次承担违约金；若乙方未按要求佩戴安全带，则按100元/人/次承担违约金。</w:t>
      </w:r>
    </w:p>
    <w:p w14:paraId="37D7296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13.3.7对未报审先使用的材料，将处以</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000元/次，如遇特殊不能及时完善手续的情况，可以通过电话、短信、微信等通讯方式告知并及时同意后实施。</w:t>
      </w:r>
    </w:p>
    <w:p w14:paraId="2D71BB1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13.3.8甲指乙供的设备及材料订货进场前，乙方需向甲方提出书面申请，经甲方工程师检查拟采用的主要设备和材料是否符合甲方和设计文件及有关规范所规定的规格、型号、技术标准和质量标准，确认符合甲方核定的要求后方定货，否则，造成的损失由乙方负责。各种材料进场应及时报验，并由检测单位及时出具检测结果。需要报送样品的材料或工程设备，样品的种类、名称、规格、数量要求应符合甲方要求。</w:t>
      </w:r>
    </w:p>
    <w:p w14:paraId="1E617B9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13.3.9本合同签订后，乙方未按甲方规定的时间进场组织施工，视为乙方违约，给甲方造成损失甲方有权向乙方追偿，因追偿产生的一切费用由乙方承担。</w:t>
      </w:r>
    </w:p>
    <w:p w14:paraId="41E3EFB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13.3.10若出现质量问题，乙方在24小时内务必相应，48小时内务必整改，若48小时都未响应安排整改，视为乙方违约，甲方可另行安排整改，产生的费用在乙方工程款中1.5倍直接扣除，若工程款不能覆盖整改费用的，甲方向乙方追偿所产生的一切费用均由乙方承担。</w:t>
      </w:r>
    </w:p>
    <w:p w14:paraId="17F41E5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第十四条  合同的生效与终止</w:t>
      </w:r>
    </w:p>
    <w:p w14:paraId="25ADE70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14.1、本合同甲乙双方签字盖章后生效，质量缺陷期届满结清质保金后，合同失效。</w:t>
      </w:r>
    </w:p>
    <w:p w14:paraId="0BB3575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14.2、本合同如有未尽事宜，双方可根据具体情况议定补充条款，作为本合同补充协议，与本合同具有同等效力。</w:t>
      </w:r>
    </w:p>
    <w:p w14:paraId="79808EB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第十五条  其他</w:t>
      </w:r>
    </w:p>
    <w:p w14:paraId="6D533D3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15.1、施工现场不得出现聚众闹事、斗殴现象，每出现一次罚款</w:t>
      </w:r>
      <w:r>
        <w:rPr>
          <w:rFonts w:hint="eastAsia" w:ascii="Times New Roman" w:hAnsi="Times New Roman" w:eastAsia="方正仿宋_GBK" w:cs="Times New Roman"/>
          <w:snapToGrid/>
          <w:color w:val="auto"/>
          <w:kern w:val="2"/>
          <w:sz w:val="32"/>
          <w:szCs w:val="32"/>
          <w:highlight w:val="none"/>
          <w:lang w:val="en-US" w:eastAsia="zh-CN"/>
        </w:rPr>
        <w:t>5000</w:t>
      </w:r>
      <w:r>
        <w:rPr>
          <w:rFonts w:hint="eastAsia" w:ascii="Times New Roman" w:hAnsi="Times New Roman" w:eastAsia="方正仿宋_GBK" w:cs="Times New Roman"/>
          <w:snapToGrid/>
          <w:color w:val="auto"/>
          <w:kern w:val="2"/>
          <w:sz w:val="32"/>
          <w:szCs w:val="32"/>
          <w:highlight w:val="none"/>
          <w:lang w:eastAsia="zh-CN"/>
        </w:rPr>
        <w:t>元。</w:t>
      </w:r>
    </w:p>
    <w:p w14:paraId="4A7965C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15.2、凡施工现场出现盗窃事件，其损失均由乙方负责。</w:t>
      </w:r>
    </w:p>
    <w:p w14:paraId="4270C9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15.3、本合同一式四份，甲乙双方各执二份；合同附件与合同具有同等效力，附件内容与本合同冲突的，以本合同约定内容为准。</w:t>
      </w:r>
    </w:p>
    <w:p w14:paraId="713DB5C3">
      <w:pPr>
        <w:keepNext w:val="0"/>
        <w:keepLines w:val="0"/>
        <w:widowControl/>
        <w:suppressLineNumbers w:val="0"/>
        <w:ind w:firstLine="640" w:firstLineChars="200"/>
        <w:jc w:val="left"/>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合同附件1:《</w:t>
      </w:r>
      <w:r>
        <w:rPr>
          <w:rFonts w:hint="eastAsia" w:ascii="Times New Roman" w:hAnsi="Times New Roman" w:eastAsia="方正仿宋_GBK" w:cs="Times New Roman"/>
          <w:snapToGrid/>
          <w:color w:val="auto"/>
          <w:kern w:val="2"/>
          <w:sz w:val="32"/>
          <w:szCs w:val="32"/>
          <w:highlight w:val="none"/>
          <w:lang w:val="en-US" w:eastAsia="zh-CN"/>
        </w:rPr>
        <w:t>重庆理工职业学院青教楼新增监控工程项目清单</w:t>
      </w:r>
      <w:r>
        <w:rPr>
          <w:rFonts w:hint="eastAsia" w:ascii="Times New Roman" w:hAnsi="Times New Roman" w:eastAsia="方正仿宋_GBK" w:cs="Times New Roman"/>
          <w:snapToGrid/>
          <w:color w:val="auto"/>
          <w:kern w:val="2"/>
          <w:sz w:val="32"/>
          <w:szCs w:val="32"/>
          <w:highlight w:val="none"/>
          <w:lang w:eastAsia="zh-CN"/>
        </w:rPr>
        <w:t>表》。</w:t>
      </w:r>
    </w:p>
    <w:p w14:paraId="1CCAE20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合同附件2:工程质量保修书。</w:t>
      </w:r>
    </w:p>
    <w:p w14:paraId="69439B2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合同附件3:对保证不拖欠民工工资承诺书。</w:t>
      </w:r>
    </w:p>
    <w:p w14:paraId="498CC55C">
      <w:pPr>
        <w:rPr>
          <w:rFonts w:hint="eastAsia"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br w:type="page"/>
      </w:r>
    </w:p>
    <w:p w14:paraId="739CE17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-----------本页为签署页，无正文-----------</w:t>
      </w:r>
    </w:p>
    <w:p w14:paraId="0263C0AA">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甲方（盖章）：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060C4F1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1DEAF7D6">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74FD183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30AC122B">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1C2A8E7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49AB2934">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6BB8595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签订日期：</w:t>
      </w:r>
    </w:p>
    <w:p w14:paraId="60DD70B1">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3747099C">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1D3CBFB2">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5B57B7F7">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乙方（盖章）：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134FE97A">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564252FD">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5FA3B747">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758E8F92">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46EBB4D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479D989B">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770789B7">
      <w:pPr>
        <w:widowControl w:val="0"/>
        <w:kinsoku/>
        <w:autoSpaceDE/>
        <w:autoSpaceDN/>
        <w:adjustRightInd/>
        <w:snapToGrid/>
        <w:spacing w:line="560" w:lineRule="exact"/>
        <w:textAlignment w:val="auto"/>
        <w:rPr>
          <w:rFonts w:hint="eastAsia" w:ascii="方正仿宋_GBK" w:hAnsi="方正仿宋_GBK" w:eastAsia="方正仿宋_GBK" w:cs="方正仿宋_GBK"/>
          <w:color w:val="auto"/>
          <w:kern w:val="2"/>
          <w:sz w:val="32"/>
          <w:szCs w:val="32"/>
          <w:highlight w:val="none"/>
          <w:lang w:eastAsia="zh-CN"/>
        </w:rPr>
        <w:sectPr>
          <w:headerReference r:id="rId3" w:type="default"/>
          <w:footerReference r:id="rId4" w:type="default"/>
          <w:pgSz w:w="11905" w:h="16838"/>
          <w:pgMar w:top="1984" w:right="1474" w:bottom="1984" w:left="1587" w:header="0" w:footer="0" w:gutter="0"/>
          <w:cols w:space="0" w:num="1"/>
        </w:sectPr>
      </w:pPr>
      <w:r>
        <w:rPr>
          <w:rFonts w:hint="eastAsia" w:ascii="方正仿宋_GBK" w:hAnsi="方正仿宋_GBK" w:eastAsia="方正仿宋_GBK" w:cs="方正仿宋_GBK"/>
          <w:color w:val="auto"/>
          <w:kern w:val="2"/>
          <w:sz w:val="32"/>
          <w:szCs w:val="32"/>
          <w:highlight w:val="none"/>
          <w:lang w:eastAsia="zh-CN"/>
        </w:rPr>
        <w:t>签订日期：</w:t>
      </w:r>
    </w:p>
    <w:p w14:paraId="735B00FA">
      <w:pPr>
        <w:widowControl w:val="0"/>
        <w:kinsoku/>
        <w:autoSpaceDE/>
        <w:autoSpaceDN/>
        <w:adjustRightInd/>
        <w:snapToGrid/>
        <w:spacing w:line="560" w:lineRule="exac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w:t>
      </w:r>
      <w:r>
        <w:rPr>
          <w:rFonts w:hint="eastAsia" w:ascii="Times New Roman" w:hAnsi="Times New Roman" w:eastAsia="方正仿宋_GBK" w:cs="Times New Roman"/>
          <w:snapToGrid/>
          <w:color w:val="auto"/>
          <w:kern w:val="2"/>
          <w:sz w:val="32"/>
          <w:szCs w:val="32"/>
          <w:highlight w:val="none"/>
          <w:lang w:val="en-US" w:eastAsia="zh-CN"/>
        </w:rPr>
        <w:t>1</w:t>
      </w:r>
      <w:r>
        <w:rPr>
          <w:rFonts w:hint="eastAsia" w:ascii="Times New Roman" w:hAnsi="Times New Roman" w:eastAsia="方正仿宋_GBK" w:cs="Times New Roman"/>
          <w:snapToGrid/>
          <w:color w:val="auto"/>
          <w:kern w:val="2"/>
          <w:sz w:val="32"/>
          <w:szCs w:val="32"/>
          <w:highlight w:val="none"/>
          <w:lang w:eastAsia="zh-CN"/>
        </w:rPr>
        <w:t>:</w:t>
      </w:r>
    </w:p>
    <w:p w14:paraId="7F4D202E">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重庆理工职业学院青教楼新增监控工程项目清单</w:t>
      </w:r>
      <w:r>
        <w:rPr>
          <w:rFonts w:hint="eastAsia" w:ascii="宋体" w:hAnsi="宋体" w:eastAsia="宋体" w:cs="宋体"/>
          <w:b/>
          <w:bCs/>
          <w:sz w:val="44"/>
          <w:szCs w:val="44"/>
          <w:lang w:eastAsia="zh-CN"/>
        </w:rPr>
        <w:t>表</w:t>
      </w:r>
    </w:p>
    <w:p w14:paraId="5678AA4F">
      <w:pPr>
        <w:widowControl w:val="0"/>
        <w:kinsoku/>
        <w:autoSpaceDE/>
        <w:autoSpaceDN/>
        <w:adjustRightInd/>
        <w:snapToGrid/>
        <w:spacing w:line="560" w:lineRule="exact"/>
        <w:textAlignment w:val="auto"/>
        <w:rPr>
          <w:rFonts w:hint="eastAsia" w:ascii="Times New Roman" w:hAnsi="Times New Roman" w:eastAsia="方正仿宋_GBK" w:cs="Times New Roman"/>
          <w:snapToGrid/>
          <w:color w:val="auto"/>
          <w:kern w:val="2"/>
          <w:sz w:val="32"/>
          <w:szCs w:val="32"/>
          <w:highlight w:val="none"/>
          <w:lang w:eastAsia="zh-CN"/>
        </w:rPr>
        <w:sectPr>
          <w:pgSz w:w="11905" w:h="16838"/>
          <w:pgMar w:top="567" w:right="1474" w:bottom="567" w:left="1587" w:header="0" w:footer="0" w:gutter="0"/>
          <w:cols w:space="0" w:num="1"/>
        </w:sectPr>
      </w:pPr>
    </w:p>
    <w:p w14:paraId="16238C67">
      <w:pPr>
        <w:widowControl w:val="0"/>
        <w:kinsoku/>
        <w:autoSpaceDE/>
        <w:autoSpaceDN/>
        <w:adjustRightInd/>
        <w:snapToGrid/>
        <w:spacing w:line="560" w:lineRule="exac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附件2:</w:t>
      </w:r>
    </w:p>
    <w:p w14:paraId="66D12ACF">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52"/>
          <w:szCs w:val="52"/>
          <w:highlight w:val="none"/>
          <w:lang w:eastAsia="zh-CN"/>
        </w:rPr>
      </w:pPr>
      <w:r>
        <w:rPr>
          <w:rFonts w:hint="eastAsia" w:ascii="方正小标宋_GBK" w:hAnsi="方正小标宋_GBK" w:eastAsia="方正小标宋_GBK" w:cs="方正小标宋_GBK"/>
          <w:snapToGrid/>
          <w:color w:val="auto"/>
          <w:kern w:val="2"/>
          <w:sz w:val="44"/>
          <w:szCs w:val="44"/>
          <w:highlight w:val="none"/>
          <w:lang w:eastAsia="zh-CN"/>
        </w:rPr>
        <w:t>工程质量保修书</w:t>
      </w:r>
    </w:p>
    <w:p w14:paraId="6E3A150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45F133DB">
      <w:pPr>
        <w:widowControl w:val="0"/>
        <w:kinsoku/>
        <w:autoSpaceDE/>
        <w:autoSpaceDN/>
        <w:adjustRightInd/>
        <w:snapToGrid/>
        <w:spacing w:line="560" w:lineRule="exac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发包人(全称):重庆理工职业学院</w:t>
      </w:r>
    </w:p>
    <w:p w14:paraId="10A970F9">
      <w:pPr>
        <w:widowControl w:val="0"/>
        <w:kinsoku/>
        <w:autoSpaceDE/>
        <w:autoSpaceDN/>
        <w:adjustRightInd/>
        <w:snapToGrid/>
        <w:spacing w:line="560" w:lineRule="exact"/>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承包人(全称):</w:t>
      </w:r>
    </w:p>
    <w:p w14:paraId="1AEC5B9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752DED1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为保证</w:t>
      </w:r>
      <w:r>
        <w:rPr>
          <w:rFonts w:hint="eastAsia" w:ascii="Times New Roman" w:hAnsi="Times New Roman" w:eastAsia="方正仿宋_GBK" w:cs="Times New Roman"/>
          <w:snapToGrid/>
          <w:color w:val="auto"/>
          <w:kern w:val="2"/>
          <w:sz w:val="32"/>
          <w:szCs w:val="32"/>
          <w:lang w:eastAsia="zh-CN"/>
        </w:rPr>
        <w:t>重庆理工职业</w:t>
      </w:r>
      <w:r>
        <w:rPr>
          <w:rFonts w:hint="eastAsia" w:ascii="Times New Roman" w:hAnsi="Times New Roman" w:eastAsia="方正仿宋_GBK" w:cs="Times New Roman"/>
          <w:snapToGrid/>
          <w:color w:val="auto"/>
          <w:kern w:val="2"/>
          <w:sz w:val="32"/>
          <w:szCs w:val="32"/>
          <w:lang w:val="en-US" w:eastAsia="zh-CN"/>
        </w:rPr>
        <w:t>学院重庆理工职业学院青教楼新增监控工程</w:t>
      </w:r>
      <w:r>
        <w:rPr>
          <w:rFonts w:hint="eastAsia" w:ascii="Times New Roman" w:hAnsi="Times New Roman" w:eastAsia="方正仿宋_GBK" w:cs="Times New Roman"/>
          <w:snapToGrid/>
          <w:color w:val="auto"/>
          <w:kern w:val="2"/>
          <w:sz w:val="32"/>
          <w:szCs w:val="32"/>
          <w:highlight w:val="none"/>
          <w:lang w:eastAsia="zh-CN"/>
        </w:rPr>
        <w:t>在合理使用期内正常使用，根据《中华人民共和国建筑法》、国务院发布的《建设工程质量管理条例》、《房屋建筑工程质量保修办法》等有关法律法规及国家标准，经甲、乙双方协商一致，签订本工程质量保修书。</w:t>
      </w:r>
    </w:p>
    <w:p w14:paraId="27B2190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一 、工程质量保修范围和内容</w:t>
      </w:r>
    </w:p>
    <w:p w14:paraId="51F806E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承包人在质量保修期内，按照有关法律、法规、规章的管理规定和双方约定，承担本工程质量保修责任。</w:t>
      </w:r>
    </w:p>
    <w:p w14:paraId="21FA31D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质量保修范围包括装修工程，以及双方约定的其他项目。具体保修的内容，双方约定如下：</w:t>
      </w:r>
    </w:p>
    <w:p w14:paraId="609C0B8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 xml:space="preserve">保修范围为设计施工图所示的全部内容(含投标书及附件部分，设计变更部分)。  </w:t>
      </w:r>
    </w:p>
    <w:p w14:paraId="31CFA0F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二、质量保修期</w:t>
      </w:r>
    </w:p>
    <w:p w14:paraId="561D2E0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双方根据《建设工程质量管理条例》及</w:t>
      </w:r>
      <w:r>
        <w:rPr>
          <w:rFonts w:hint="eastAsia" w:ascii="Times New Roman" w:hAnsi="Times New Roman" w:eastAsia="方正仿宋_GBK" w:cs="Times New Roman"/>
          <w:snapToGrid/>
          <w:color w:val="FF0000"/>
          <w:kern w:val="2"/>
          <w:sz w:val="32"/>
          <w:szCs w:val="32"/>
          <w:highlight w:val="none"/>
          <w:lang w:val="en-US" w:eastAsia="zh-CN"/>
        </w:rPr>
        <w:t>合同</w:t>
      </w:r>
      <w:r>
        <w:rPr>
          <w:rFonts w:hint="eastAsia" w:ascii="Times New Roman" w:hAnsi="Times New Roman" w:eastAsia="方正仿宋_GBK" w:cs="Times New Roman"/>
          <w:snapToGrid/>
          <w:color w:val="auto"/>
          <w:kern w:val="2"/>
          <w:sz w:val="32"/>
          <w:szCs w:val="32"/>
          <w:highlight w:val="none"/>
          <w:lang w:eastAsia="zh-CN"/>
        </w:rPr>
        <w:t>有关规定，约定本工程的质量保修期如下：</w:t>
      </w:r>
    </w:p>
    <w:p w14:paraId="070B5A1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 质量保修期从工程验收合格交付使用之日起计算。</w:t>
      </w:r>
    </w:p>
    <w:p w14:paraId="433F0F5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 基础设施工程、房屋建筑的地基基础工程和主体结构工程，非标设备制作工程为设计文件规定的该工程合理使用年限；</w:t>
      </w:r>
    </w:p>
    <w:p w14:paraId="2A171FB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 屋面防水工程、有防水要求的卫生间、房间和外墙面等其它工程的防渗漏为5年；</w:t>
      </w:r>
    </w:p>
    <w:p w14:paraId="736F6E2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4. 电气、仪表管线、给排水管道、工艺管道、通风系统安装和装修工程为2年；</w:t>
      </w:r>
    </w:p>
    <w:p w14:paraId="0341805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5. 供热与供冷系统为2个采暖期、供冷期；</w:t>
      </w:r>
    </w:p>
    <w:p w14:paraId="2857FB7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 定型设备、电气设备、仪表设备、静止设备安装保修期为2年；</w:t>
      </w:r>
    </w:p>
    <w:p w14:paraId="19026A3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 电气、仪表桥架、支托架及电力电缆、动力电缆、控制电缆、 信号电缆等安装保修期为</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年；</w:t>
      </w:r>
    </w:p>
    <w:p w14:paraId="4EAC4BC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三、保修责任</w:t>
      </w:r>
    </w:p>
    <w:p w14:paraId="343F40E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1.属于保修范围、内容的工程，承包人应当在接到保修通知之日起24小时内给予答复，48小时内派人保修。承包人不在约定期限内派人保修的 发包人有权委托他人修理，费用由承包人支付。</w:t>
      </w:r>
    </w:p>
    <w:p w14:paraId="6201A02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2.发生紧急抢修事故，承包人在接到事故通知后，应当立即到达事故现场抢修或委托他人修理。</w:t>
      </w:r>
    </w:p>
    <w:p w14:paraId="52C9611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3.对于涉及结构安全的质量问题，应当按照《房屋建筑工程质量保修办法》的规定，立即向发包人报告，采取安全防范措施；由原设计单位或 者具有相应资质等级的设计单位提出保修方案，承包人实施保修。</w:t>
      </w:r>
    </w:p>
    <w:p w14:paraId="54F3A88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4.在国家规定的工程合理使用期限内，承包日内应确保其质量。因承包人原因致使工程在合理使用期限内造成人身和财产损害，承包人应承担损害赔偿责任。</w:t>
      </w:r>
    </w:p>
    <w:p w14:paraId="6A05CF9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5.质保期满后，由业主及发包人组织验收。</w:t>
      </w:r>
    </w:p>
    <w:p w14:paraId="30EEF51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四、质量保修金</w:t>
      </w:r>
    </w:p>
    <w:p w14:paraId="2207AA2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FF0000"/>
          <w:kern w:val="2"/>
          <w:sz w:val="32"/>
          <w:szCs w:val="32"/>
          <w:highlight w:val="none"/>
          <w:lang w:val="en-US" w:eastAsia="zh-CN"/>
        </w:rPr>
        <w:t>本工程质保期2年，</w:t>
      </w:r>
      <w:r>
        <w:rPr>
          <w:rFonts w:hint="eastAsia" w:ascii="Times New Roman" w:hAnsi="Times New Roman" w:eastAsia="方正仿宋_GBK" w:cs="Times New Roman"/>
          <w:snapToGrid/>
          <w:color w:val="FF0000"/>
          <w:kern w:val="2"/>
          <w:sz w:val="32"/>
          <w:szCs w:val="32"/>
          <w:lang w:val="en-US" w:eastAsia="zh-CN"/>
        </w:rPr>
        <w:t>质保金为审定结算金额的3％。</w:t>
      </w:r>
      <w:r>
        <w:rPr>
          <w:rFonts w:hint="eastAsia" w:ascii="Times New Roman" w:hAnsi="Times New Roman" w:eastAsia="方正仿宋_GBK" w:cs="Times New Roman"/>
          <w:snapToGrid/>
          <w:color w:val="FF0000"/>
          <w:kern w:val="2"/>
          <w:sz w:val="32"/>
          <w:szCs w:val="32"/>
          <w:highlight w:val="none"/>
          <w:lang w:val="en-US" w:eastAsia="zh-CN"/>
        </w:rPr>
        <w:t>质保期满且无任何质量问题，乙方向甲方提交质保金退还申请，甲方在收到申请之后15个工作日之内，质保金无息退还</w:t>
      </w:r>
      <w:bookmarkStart w:id="0" w:name="_GoBack"/>
      <w:bookmarkEnd w:id="0"/>
      <w:r>
        <w:rPr>
          <w:rFonts w:hint="eastAsia" w:ascii="Times New Roman" w:hAnsi="Times New Roman" w:eastAsia="方正仿宋_GBK" w:cs="Times New Roman"/>
          <w:snapToGrid/>
          <w:color w:val="FF0000"/>
          <w:kern w:val="2"/>
          <w:sz w:val="32"/>
          <w:szCs w:val="32"/>
          <w:highlight w:val="none"/>
          <w:lang w:val="en-US" w:eastAsia="zh-CN"/>
        </w:rPr>
        <w:t>乙方。</w:t>
      </w:r>
    </w:p>
    <w:p w14:paraId="2ED6AAB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五、质量保修金返还</w:t>
      </w:r>
    </w:p>
    <w:p w14:paraId="7676D8C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在保修期满后1个月，如无施工质量问题，返还承包人。</w:t>
      </w:r>
    </w:p>
    <w:p w14:paraId="260ABE5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六、其它</w:t>
      </w:r>
    </w:p>
    <w:p w14:paraId="6FB6585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 本工程质量保修书，作为本项目《工程承包合同》的组成部分，与《工程承包合同》具有同等法律效力。</w:t>
      </w:r>
    </w:p>
    <w:p w14:paraId="533E79E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2.本工程质量保修书的有效期为保修期满后，质量保修金返还后失效。</w:t>
      </w:r>
      <w:r>
        <w:rPr>
          <w:rFonts w:ascii="Times New Roman" w:hAnsi="Times New Roman" w:eastAsia="方正仿宋_GBK" w:cs="Times New Roman"/>
          <w:snapToGrid/>
          <w:color w:val="auto"/>
          <w:kern w:val="2"/>
          <w:sz w:val="32"/>
          <w:szCs w:val="32"/>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8357235</wp:posOffset>
                </wp:positionH>
                <wp:positionV relativeFrom="paragraph">
                  <wp:posOffset>1376680</wp:posOffset>
                </wp:positionV>
                <wp:extent cx="321945" cy="391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21945" cy="391160"/>
                        </a:xfrm>
                        <a:prstGeom prst="rect">
                          <a:avLst/>
                        </a:prstGeom>
                        <a:noFill/>
                        <a:ln>
                          <a:noFill/>
                        </a:ln>
                        <a:effectLst/>
                      </wps:spPr>
                      <wps:txbx>
                        <w:txbxContent>
                          <w:p w14:paraId="4023CC8E">
                            <w:pPr>
                              <w:spacing w:before="19" w:line="217" w:lineRule="auto"/>
                              <w:jc w:val="right"/>
                              <w:rPr>
                                <w:rFonts w:ascii="宋体" w:hAnsi="宋体" w:eastAsia="宋体" w:cs="宋体"/>
                                <w:sz w:val="49"/>
                                <w:szCs w:val="49"/>
                              </w:rPr>
                            </w:pPr>
                          </w:p>
                        </w:txbxContent>
                      </wps:txbx>
                      <wps:bodyPr lIns="0" tIns="0" rIns="0" bIns="0" upright="1"/>
                    </wps:wsp>
                  </a:graphicData>
                </a:graphic>
              </wp:anchor>
            </w:drawing>
          </mc:Choice>
          <mc:Fallback>
            <w:pict>
              <v:shape id="_x0000_s1026" o:spid="_x0000_s1026" o:spt="202" type="#_x0000_t202" style="position:absolute;left:0pt;margin-left:658.05pt;margin-top:108.4pt;height:30.8pt;width:25.35pt;z-index:251659264;mso-width-relative:page;mso-height-relative:page;" filled="f" stroked="f" coordsize="21600,21600" o:gfxdata="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vw8V92QAAAA0BAAAPAAAAAAAAAAEAIAAAACIAAABkcnMvZG93bnJldi54&#10;bWxQSwECFAAUAAAACACHTuJABnVdOcABAAB/AwAADgAAAAAAAAABACAAAAAoAQAAZHJzL2Uyb0Rv&#10;Yy54bWxQSwUGAAAAAAYABgBZAQAAWgUAAAAA&#10;">
                <v:fill on="f" focussize="0,0"/>
                <v:stroke on="f"/>
                <v:imagedata o:title=""/>
                <o:lock v:ext="edit" aspectratio="f"/>
                <v:textbox inset="0mm,0mm,0mm,0mm">
                  <w:txbxContent>
                    <w:p w14:paraId="4023CC8E">
                      <w:pPr>
                        <w:spacing w:before="19" w:line="217" w:lineRule="auto"/>
                        <w:jc w:val="right"/>
                        <w:rPr>
                          <w:rFonts w:ascii="宋体" w:hAnsi="宋体" w:eastAsia="宋体" w:cs="宋体"/>
                          <w:sz w:val="49"/>
                          <w:szCs w:val="49"/>
                        </w:rPr>
                      </w:pPr>
                    </w:p>
                  </w:txbxContent>
                </v:textbox>
              </v:shape>
            </w:pict>
          </mc:Fallback>
        </mc:AlternateContent>
      </w:r>
    </w:p>
    <w:p w14:paraId="56DE9A63">
      <w:pPr>
        <w:widowControl w:val="0"/>
        <w:kinsoku/>
        <w:autoSpaceDE/>
        <w:autoSpaceDN/>
        <w:adjustRightInd/>
        <w:snapToGrid/>
        <w:spacing w:line="560" w:lineRule="exact"/>
        <w:jc w:val="both"/>
        <w:textAlignment w:val="auto"/>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-----------------以下无正文-----------------</w:t>
      </w:r>
    </w:p>
    <w:p w14:paraId="4E5DD74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sectPr>
          <w:pgSz w:w="11905" w:h="16838"/>
          <w:pgMar w:top="1984" w:right="1474" w:bottom="1984" w:left="1587" w:header="0" w:footer="0" w:gutter="0"/>
          <w:cols w:space="0" w:num="1"/>
        </w:sectPr>
      </w:pPr>
    </w:p>
    <w:p w14:paraId="201D56B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-----------本页为签署页，无正文-----------</w:t>
      </w:r>
    </w:p>
    <w:p w14:paraId="483D72C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甲方（盖章）：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6176FE82">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7AAC177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6EE7F6C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4BED204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52B00F4F">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7504322C">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36552B4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签订日期：</w:t>
      </w:r>
    </w:p>
    <w:p w14:paraId="403B2702">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370141EB">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178160E1">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26367B6B">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乙方（盖章）：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761FF1B5">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541FBBE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2BE1F47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0CE4AF58">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5C42B58D">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6E401568">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71A96506">
      <w:pPr>
        <w:widowControl w:val="0"/>
        <w:kinsoku/>
        <w:autoSpaceDE/>
        <w:autoSpaceDN/>
        <w:adjustRightInd/>
        <w:snapToGrid/>
        <w:spacing w:line="560" w:lineRule="exact"/>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签订日期：</w:t>
      </w:r>
    </w:p>
    <w:p w14:paraId="0AE0E8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附件3:</w:t>
      </w:r>
    </w:p>
    <w:p w14:paraId="4D60C596">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44"/>
          <w:szCs w:val="44"/>
          <w:highlight w:val="none"/>
          <w:lang w:eastAsia="zh-CN"/>
        </w:rPr>
      </w:pPr>
      <w:r>
        <w:rPr>
          <w:rFonts w:hint="eastAsia" w:ascii="方正小标宋_GBK" w:hAnsi="方正小标宋_GBK" w:eastAsia="方正小标宋_GBK" w:cs="方正小标宋_GBK"/>
          <w:snapToGrid/>
          <w:color w:val="auto"/>
          <w:kern w:val="2"/>
          <w:sz w:val="44"/>
          <w:szCs w:val="44"/>
          <w:highlight w:val="none"/>
          <w:lang w:eastAsia="zh-CN"/>
        </w:rPr>
        <w:t>对保证不拖欠民工工资承诺书</w:t>
      </w:r>
    </w:p>
    <w:p w14:paraId="500CFD49">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44"/>
          <w:szCs w:val="44"/>
          <w:highlight w:val="none"/>
          <w:lang w:eastAsia="zh-CN"/>
        </w:rPr>
      </w:pPr>
    </w:p>
    <w:p w14:paraId="39CB1334">
      <w:pPr>
        <w:widowControl w:val="0"/>
        <w:kinsoku/>
        <w:autoSpaceDE/>
        <w:autoSpaceDN/>
        <w:adjustRightInd/>
        <w:snapToGrid/>
        <w:spacing w:line="560" w:lineRule="exac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重庆理工职业学院：</w:t>
      </w:r>
    </w:p>
    <w:p w14:paraId="64598F4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由我单位</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承包施工贵校发包的《</w:t>
      </w:r>
      <w:r>
        <w:rPr>
          <w:rFonts w:hint="eastAsia" w:ascii="Times New Roman" w:hAnsi="Times New Roman" w:eastAsia="方正仿宋_GBK" w:cs="Times New Roman"/>
          <w:snapToGrid/>
          <w:color w:val="auto"/>
          <w:kern w:val="2"/>
          <w:sz w:val="32"/>
          <w:szCs w:val="32"/>
          <w:lang w:val="en-US" w:eastAsia="zh-CN"/>
        </w:rPr>
        <w:t>重庆理工职业学院青教楼新增监控工程</w:t>
      </w:r>
      <w:r>
        <w:rPr>
          <w:rFonts w:hint="eastAsia" w:ascii="Times New Roman" w:hAnsi="Times New Roman" w:eastAsia="方正仿宋_GBK" w:cs="Times New Roman"/>
          <w:snapToGrid/>
          <w:color w:val="auto"/>
          <w:kern w:val="2"/>
          <w:sz w:val="32"/>
          <w:szCs w:val="32"/>
          <w:highlight w:val="none"/>
          <w:lang w:eastAsia="zh-CN"/>
        </w:rPr>
        <w:t>》,我司保证将按国家的有关规定制订保证民工工资支付的方案及保证措施，并在资金使用计划表中 按月单列需支付的民工工资计划和先行支付民工工资，并保证发包人不因 任何由于我方在发放民工工资事宜上而受到任何处罚、诉讼和罚款。若有民工上访讨薪情况发生，我司承担一切法律责任和经济责任，与贵校无关。</w:t>
      </w:r>
    </w:p>
    <w:p w14:paraId="3E8C6DA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我方承诺按贵方的要求如实每月向贵方财务部门报送工资发放表，工资表会如实列明工作内容、工资结算期间、结算工资额、实付工资额及拖欠金额，并有劳务工本人亲笔签名及手印。若我方报送的资料不全、报送的 资料不能如实反映工资发放情况或提供的支付明细及出勤记录存在明显不 实虚假情况，贵方有权视情况暂扣我方的工程进度款，直至我方能提供工资己经发放的确切证明。</w:t>
      </w:r>
    </w:p>
    <w:p w14:paraId="37452ED4">
      <w:pPr>
        <w:widowControl w:val="0"/>
        <w:kinsoku/>
        <w:wordWrap w:val="0"/>
        <w:autoSpaceDE/>
        <w:autoSpaceDN/>
        <w:adjustRightInd/>
        <w:snapToGrid/>
        <w:spacing w:line="560" w:lineRule="exact"/>
        <w:ind w:firstLine="640" w:firstLineChars="200"/>
        <w:jc w:val="righ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 xml:space="preserve">保证单位（签章）：                      </w:t>
      </w:r>
    </w:p>
    <w:p w14:paraId="5E0B2F8A">
      <w:pPr>
        <w:widowControl w:val="0"/>
        <w:kinsoku/>
        <w:wordWrap w:val="0"/>
        <w:autoSpaceDE/>
        <w:autoSpaceDN/>
        <w:adjustRightInd/>
        <w:snapToGrid/>
        <w:spacing w:line="560" w:lineRule="exact"/>
        <w:ind w:firstLine="640" w:firstLineChars="200"/>
        <w:jc w:val="righ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 xml:space="preserve">法定代表人或其委托代理人 (签字) ：      </w:t>
      </w:r>
    </w:p>
    <w:p w14:paraId="3614DBCD">
      <w:pPr>
        <w:widowControl w:val="0"/>
        <w:kinsoku/>
        <w:autoSpaceDE/>
        <w:autoSpaceDN/>
        <w:adjustRightInd/>
        <w:snapToGrid/>
        <w:spacing w:line="560" w:lineRule="exact"/>
        <w:ind w:firstLine="640" w:firstLineChars="200"/>
        <w:jc w:val="right"/>
        <w:textAlignment w:val="auto"/>
        <w:rPr>
          <w:rFonts w:ascii="Times New Roman" w:hAnsi="Times New Roman" w:eastAsia="方正仿宋_GBK" w:cs="Times New Roman"/>
          <w:snapToGrid/>
          <w:color w:val="auto"/>
          <w:kern w:val="2"/>
          <w:sz w:val="32"/>
          <w:szCs w:val="32"/>
          <w:highlight w:val="none"/>
          <w:lang w:eastAsia="zh-CN"/>
        </w:rPr>
        <w:sectPr>
          <w:footerReference r:id="rId5" w:type="default"/>
          <w:pgSz w:w="11905" w:h="16838"/>
          <w:pgMar w:top="1984" w:right="1474" w:bottom="1984" w:left="1587" w:header="0" w:footer="0" w:gutter="0"/>
          <w:cols w:space="0" w:num="1"/>
        </w:sectPr>
      </w:pPr>
      <w:r>
        <w:rPr>
          <w:rFonts w:hint="eastAsia" w:ascii="Times New Roman" w:hAnsi="Times New Roman" w:eastAsia="方正仿宋_GBK" w:cs="Times New Roman"/>
          <w:snapToGrid/>
          <w:color w:val="auto"/>
          <w:kern w:val="2"/>
          <w:sz w:val="32"/>
          <w:szCs w:val="32"/>
          <w:highlight w:val="none"/>
          <w:lang w:eastAsia="zh-CN"/>
        </w:rPr>
        <w:t>2025年</w:t>
      </w:r>
      <w:r>
        <w:rPr>
          <w:rFonts w:hint="eastAsia" w:ascii="Times New Roman" w:hAnsi="Times New Roman" w:eastAsia="方正仿宋_GBK" w:cs="Times New Roman"/>
          <w:snapToGrid/>
          <w:color w:val="auto"/>
          <w:kern w:val="2"/>
          <w:sz w:val="32"/>
          <w:szCs w:val="32"/>
          <w:highlight w:val="none"/>
          <w:lang w:val="en-US" w:eastAsia="zh-CN"/>
        </w:rPr>
        <w:t xml:space="preserve"> 09</w:t>
      </w:r>
      <w:r>
        <w:rPr>
          <w:rFonts w:hint="eastAsia" w:ascii="Times New Roman" w:hAnsi="Times New Roman" w:eastAsia="方正仿宋_GBK" w:cs="Times New Roman"/>
          <w:snapToGrid/>
          <w:color w:val="auto"/>
          <w:kern w:val="2"/>
          <w:sz w:val="32"/>
          <w:szCs w:val="32"/>
          <w:highlight w:val="none"/>
          <w:lang w:eastAsia="zh-CN"/>
        </w:rPr>
        <w:t>月</w:t>
      </w:r>
      <w:r>
        <w:rPr>
          <w:rFonts w:hint="eastAsia" w:ascii="Times New Roman" w:hAnsi="Times New Roman" w:eastAsia="方正仿宋_GBK" w:cs="Times New Roman"/>
          <w:snapToGrid/>
          <w:color w:val="auto"/>
          <w:kern w:val="2"/>
          <w:sz w:val="32"/>
          <w:szCs w:val="32"/>
          <w:highlight w:val="none"/>
          <w:lang w:val="en-US" w:eastAsia="zh-CN"/>
        </w:rPr>
        <w:t xml:space="preserve"> 01</w:t>
      </w:r>
      <w:r>
        <w:rPr>
          <w:rFonts w:hint="eastAsia" w:ascii="Times New Roman" w:hAnsi="Times New Roman" w:eastAsia="方正仿宋_GBK" w:cs="Times New Roman"/>
          <w:snapToGrid/>
          <w:color w:val="auto"/>
          <w:kern w:val="2"/>
          <w:sz w:val="32"/>
          <w:szCs w:val="32"/>
          <w:highlight w:val="none"/>
          <w:lang w:eastAsia="zh-CN"/>
        </w:rPr>
        <w:t>日</w:t>
      </w:r>
    </w:p>
    <w:p w14:paraId="05C9B472">
      <w:pPr>
        <w:rPr>
          <w:color w:val="auto"/>
          <w:highlight w:val="none"/>
          <w:lang w:eastAsia="zh-CN"/>
        </w:rPr>
      </w:pPr>
    </w:p>
    <w:sectPr>
      <w:footerReference r:id="rId6" w:type="default"/>
      <w:pgSz w:w="11905" w:h="16838"/>
      <w:pgMar w:top="1984" w:right="1474" w:bottom="1984" w:left="1587" w:header="0" w:footer="21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5969">
    <w:pPr>
      <w:spacing w:line="180" w:lineRule="auto"/>
      <w:ind w:left="16409"/>
      <w:rPr>
        <w:rFonts w:ascii="Times New Roman" w:hAnsi="Times New Roman" w:eastAsia="Times New Roman" w:cs="Times New Roman"/>
        <w:sz w:val="25"/>
        <w:szCs w:val="25"/>
      </w:rPr>
    </w:pPr>
    <w:r>
      <w:rPr>
        <w:rFonts w:ascii="Times New Roman" w:hAnsi="Times New Roman" w:eastAsia="Times New Roman" w:cs="Times New Roman"/>
        <w:spacing w:val="-7"/>
        <w:sz w:val="25"/>
        <w:szCs w:val="25"/>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3C3D">
    <w:pPr>
      <w:spacing w:line="185" w:lineRule="auto"/>
      <w:ind w:left="16588"/>
      <w:rPr>
        <w:rFonts w:ascii="Times New Roman" w:hAnsi="Times New Roman" w:eastAsia="Times New Roman" w:cs="Times New Roman"/>
        <w:sz w:val="27"/>
        <w:szCs w:val="27"/>
      </w:rPr>
    </w:pPr>
    <w:r>
      <w:rPr>
        <w:rFonts w:ascii="Times New Roman" w:hAnsi="Times New Roman" w:eastAsia="Times New Roman" w:cs="Times New Roman"/>
        <w:spacing w:val="-6"/>
        <w:sz w:val="27"/>
        <w:szCs w:val="27"/>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A487">
    <w:pPr>
      <w:spacing w:line="184" w:lineRule="auto"/>
      <w:ind w:left="17572"/>
      <w:rPr>
        <w:rFonts w:ascii="Times New Roman" w:hAnsi="Times New Roman" w:eastAsia="Times New Roman" w:cs="Times New Roman"/>
        <w:sz w:val="26"/>
        <w:szCs w:val="26"/>
      </w:rPr>
    </w:pPr>
    <w:r>
      <w:rPr>
        <w:rFonts w:ascii="Times New Roman" w:hAnsi="Times New Roman" w:eastAsia="Times New Roman" w:cs="Times New Roman"/>
        <w:spacing w:val="-6"/>
        <w:sz w:val="26"/>
        <w:szCs w:val="26"/>
      </w:rPr>
      <w:t>19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4D7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69AD"/>
    <w:rsid w:val="000D7B1A"/>
    <w:rsid w:val="001553A8"/>
    <w:rsid w:val="0016667E"/>
    <w:rsid w:val="004F2BD0"/>
    <w:rsid w:val="005C088A"/>
    <w:rsid w:val="00844285"/>
    <w:rsid w:val="00B26D7C"/>
    <w:rsid w:val="00C457CE"/>
    <w:rsid w:val="014557C2"/>
    <w:rsid w:val="01565C22"/>
    <w:rsid w:val="015754F6"/>
    <w:rsid w:val="01830099"/>
    <w:rsid w:val="01A85D51"/>
    <w:rsid w:val="01C7267B"/>
    <w:rsid w:val="01D54D98"/>
    <w:rsid w:val="01F01BD2"/>
    <w:rsid w:val="020C70ED"/>
    <w:rsid w:val="02BD75DA"/>
    <w:rsid w:val="02CF7A3A"/>
    <w:rsid w:val="02F73E15"/>
    <w:rsid w:val="030B2A3C"/>
    <w:rsid w:val="037E320E"/>
    <w:rsid w:val="03E77005"/>
    <w:rsid w:val="04001E75"/>
    <w:rsid w:val="04194CE4"/>
    <w:rsid w:val="046C750A"/>
    <w:rsid w:val="04A62A1C"/>
    <w:rsid w:val="04BF763A"/>
    <w:rsid w:val="050E35E7"/>
    <w:rsid w:val="050F05C1"/>
    <w:rsid w:val="056D7096"/>
    <w:rsid w:val="064E1F37"/>
    <w:rsid w:val="065169B7"/>
    <w:rsid w:val="067A6E74"/>
    <w:rsid w:val="06C54CB0"/>
    <w:rsid w:val="06E635A4"/>
    <w:rsid w:val="06EB0BBA"/>
    <w:rsid w:val="07456BF2"/>
    <w:rsid w:val="07854B6B"/>
    <w:rsid w:val="07BC4304"/>
    <w:rsid w:val="08275C22"/>
    <w:rsid w:val="08BA4CE8"/>
    <w:rsid w:val="08CC4A1B"/>
    <w:rsid w:val="09167A44"/>
    <w:rsid w:val="091A5787"/>
    <w:rsid w:val="092263E9"/>
    <w:rsid w:val="097906FF"/>
    <w:rsid w:val="09905A49"/>
    <w:rsid w:val="09DC0C8E"/>
    <w:rsid w:val="0A344992"/>
    <w:rsid w:val="0A5A6310"/>
    <w:rsid w:val="0A60366D"/>
    <w:rsid w:val="0A6A0048"/>
    <w:rsid w:val="0ABA2D7D"/>
    <w:rsid w:val="0AD57BB7"/>
    <w:rsid w:val="0AD61B81"/>
    <w:rsid w:val="0AF838A6"/>
    <w:rsid w:val="0B1A1A6E"/>
    <w:rsid w:val="0B1C57E6"/>
    <w:rsid w:val="0B5331D2"/>
    <w:rsid w:val="0B680A2B"/>
    <w:rsid w:val="0BF64289"/>
    <w:rsid w:val="0CD43E9E"/>
    <w:rsid w:val="0D31407E"/>
    <w:rsid w:val="0D314403"/>
    <w:rsid w:val="0D4E3C51"/>
    <w:rsid w:val="0DA87805"/>
    <w:rsid w:val="0E1E1875"/>
    <w:rsid w:val="0E8518F4"/>
    <w:rsid w:val="0ECF0DC1"/>
    <w:rsid w:val="0F2120EB"/>
    <w:rsid w:val="0F4C5F6E"/>
    <w:rsid w:val="0FD0094D"/>
    <w:rsid w:val="100827DD"/>
    <w:rsid w:val="100D1BA1"/>
    <w:rsid w:val="10437371"/>
    <w:rsid w:val="1074577C"/>
    <w:rsid w:val="10757746"/>
    <w:rsid w:val="10F82B47"/>
    <w:rsid w:val="11E06E41"/>
    <w:rsid w:val="11E903EC"/>
    <w:rsid w:val="12192A7F"/>
    <w:rsid w:val="12303925"/>
    <w:rsid w:val="12687563"/>
    <w:rsid w:val="12C86253"/>
    <w:rsid w:val="12CF1390"/>
    <w:rsid w:val="12D20E80"/>
    <w:rsid w:val="12E04850"/>
    <w:rsid w:val="12F63207"/>
    <w:rsid w:val="131F303D"/>
    <w:rsid w:val="13433B2C"/>
    <w:rsid w:val="13C92283"/>
    <w:rsid w:val="13E7095B"/>
    <w:rsid w:val="142C636E"/>
    <w:rsid w:val="14D7277E"/>
    <w:rsid w:val="14DE58BA"/>
    <w:rsid w:val="14F96B98"/>
    <w:rsid w:val="15023C9F"/>
    <w:rsid w:val="151B6B0E"/>
    <w:rsid w:val="1565422D"/>
    <w:rsid w:val="15853F88"/>
    <w:rsid w:val="15F01D49"/>
    <w:rsid w:val="16057816"/>
    <w:rsid w:val="165E1622"/>
    <w:rsid w:val="1666025D"/>
    <w:rsid w:val="1666200B"/>
    <w:rsid w:val="166C5148"/>
    <w:rsid w:val="168C1346"/>
    <w:rsid w:val="16CF5E02"/>
    <w:rsid w:val="17171557"/>
    <w:rsid w:val="17485BB5"/>
    <w:rsid w:val="17573E3F"/>
    <w:rsid w:val="17996410"/>
    <w:rsid w:val="17A34B99"/>
    <w:rsid w:val="17E256C1"/>
    <w:rsid w:val="182E4DAB"/>
    <w:rsid w:val="183879D7"/>
    <w:rsid w:val="18736C61"/>
    <w:rsid w:val="18D23988"/>
    <w:rsid w:val="18F356AC"/>
    <w:rsid w:val="193E726F"/>
    <w:rsid w:val="199E57CD"/>
    <w:rsid w:val="19A03CD1"/>
    <w:rsid w:val="19A54BF8"/>
    <w:rsid w:val="19E82D37"/>
    <w:rsid w:val="1A0933D9"/>
    <w:rsid w:val="1A1D0315"/>
    <w:rsid w:val="1A400DC5"/>
    <w:rsid w:val="1A4C776A"/>
    <w:rsid w:val="1A9A0B93"/>
    <w:rsid w:val="1B09565B"/>
    <w:rsid w:val="1B1069E9"/>
    <w:rsid w:val="1B4F12C0"/>
    <w:rsid w:val="1B574618"/>
    <w:rsid w:val="1BAA0BEC"/>
    <w:rsid w:val="1C406787"/>
    <w:rsid w:val="1C9F6277"/>
    <w:rsid w:val="1CF3211F"/>
    <w:rsid w:val="1D187DD7"/>
    <w:rsid w:val="1D8B67FB"/>
    <w:rsid w:val="1D990F18"/>
    <w:rsid w:val="1E566E09"/>
    <w:rsid w:val="1E6A4663"/>
    <w:rsid w:val="1E6C2189"/>
    <w:rsid w:val="1E707F69"/>
    <w:rsid w:val="1E7E1EBC"/>
    <w:rsid w:val="1EB37DB8"/>
    <w:rsid w:val="1EBB4EBE"/>
    <w:rsid w:val="1EDA3596"/>
    <w:rsid w:val="1FF71F26"/>
    <w:rsid w:val="20474C5B"/>
    <w:rsid w:val="207956EC"/>
    <w:rsid w:val="207D68CF"/>
    <w:rsid w:val="20E93F65"/>
    <w:rsid w:val="20EE3329"/>
    <w:rsid w:val="2103678A"/>
    <w:rsid w:val="21653824"/>
    <w:rsid w:val="216639E4"/>
    <w:rsid w:val="21933AD4"/>
    <w:rsid w:val="220F79FB"/>
    <w:rsid w:val="228C2DF9"/>
    <w:rsid w:val="22A67210"/>
    <w:rsid w:val="231150AD"/>
    <w:rsid w:val="23305E7B"/>
    <w:rsid w:val="23ED5B1A"/>
    <w:rsid w:val="23F46EA8"/>
    <w:rsid w:val="23FD2C14"/>
    <w:rsid w:val="240A66CC"/>
    <w:rsid w:val="252235A1"/>
    <w:rsid w:val="25781413"/>
    <w:rsid w:val="25DA20CE"/>
    <w:rsid w:val="266F2816"/>
    <w:rsid w:val="26AA5F44"/>
    <w:rsid w:val="27160EE4"/>
    <w:rsid w:val="274A5031"/>
    <w:rsid w:val="277F2F2D"/>
    <w:rsid w:val="278E4F1E"/>
    <w:rsid w:val="27BF055A"/>
    <w:rsid w:val="28E24AD8"/>
    <w:rsid w:val="297D524A"/>
    <w:rsid w:val="29A529F3"/>
    <w:rsid w:val="29C54E43"/>
    <w:rsid w:val="29E11C7D"/>
    <w:rsid w:val="2AFC2AE6"/>
    <w:rsid w:val="2B0F45C8"/>
    <w:rsid w:val="2B1C0A93"/>
    <w:rsid w:val="2B6761B2"/>
    <w:rsid w:val="2B6A3EF4"/>
    <w:rsid w:val="2B81265D"/>
    <w:rsid w:val="2BB67139"/>
    <w:rsid w:val="2BF35C97"/>
    <w:rsid w:val="2C1A1476"/>
    <w:rsid w:val="2C8B2374"/>
    <w:rsid w:val="2D727090"/>
    <w:rsid w:val="2D99286E"/>
    <w:rsid w:val="2D9E7E85"/>
    <w:rsid w:val="2DAF3E40"/>
    <w:rsid w:val="2DC01BA9"/>
    <w:rsid w:val="2DE51610"/>
    <w:rsid w:val="2E5F0501"/>
    <w:rsid w:val="2EBA0CEE"/>
    <w:rsid w:val="2F797675"/>
    <w:rsid w:val="2FC82F97"/>
    <w:rsid w:val="2FFD0E93"/>
    <w:rsid w:val="30F06C49"/>
    <w:rsid w:val="31210BB1"/>
    <w:rsid w:val="314B20D2"/>
    <w:rsid w:val="319A0963"/>
    <w:rsid w:val="31CC3212"/>
    <w:rsid w:val="31D13DAE"/>
    <w:rsid w:val="31EA18EB"/>
    <w:rsid w:val="32180206"/>
    <w:rsid w:val="324E1E79"/>
    <w:rsid w:val="32690A61"/>
    <w:rsid w:val="32CC2D9E"/>
    <w:rsid w:val="32EE0F67"/>
    <w:rsid w:val="32F26CA9"/>
    <w:rsid w:val="331C1A50"/>
    <w:rsid w:val="338813BB"/>
    <w:rsid w:val="3392223A"/>
    <w:rsid w:val="33AF4B9A"/>
    <w:rsid w:val="33C05129"/>
    <w:rsid w:val="33CD3272"/>
    <w:rsid w:val="344E43B3"/>
    <w:rsid w:val="346200E1"/>
    <w:rsid w:val="34763D72"/>
    <w:rsid w:val="34A22009"/>
    <w:rsid w:val="34E22D4D"/>
    <w:rsid w:val="350D578F"/>
    <w:rsid w:val="351078BA"/>
    <w:rsid w:val="35923D90"/>
    <w:rsid w:val="35FC7E3E"/>
    <w:rsid w:val="360E6B9F"/>
    <w:rsid w:val="36785717"/>
    <w:rsid w:val="367E1B98"/>
    <w:rsid w:val="3709636F"/>
    <w:rsid w:val="37302EC0"/>
    <w:rsid w:val="37357164"/>
    <w:rsid w:val="37D207A8"/>
    <w:rsid w:val="38033706"/>
    <w:rsid w:val="383E0475"/>
    <w:rsid w:val="384A571A"/>
    <w:rsid w:val="3857135C"/>
    <w:rsid w:val="387E0FDF"/>
    <w:rsid w:val="38804D57"/>
    <w:rsid w:val="388F6D48"/>
    <w:rsid w:val="389B393F"/>
    <w:rsid w:val="38EC7CF6"/>
    <w:rsid w:val="38EF3C8A"/>
    <w:rsid w:val="38F71D16"/>
    <w:rsid w:val="39113C01"/>
    <w:rsid w:val="39311BAD"/>
    <w:rsid w:val="3A6A7A6C"/>
    <w:rsid w:val="3AB24F6F"/>
    <w:rsid w:val="3AD64B18"/>
    <w:rsid w:val="3B070E17"/>
    <w:rsid w:val="3BFA6BCE"/>
    <w:rsid w:val="3C355E58"/>
    <w:rsid w:val="3C720E5A"/>
    <w:rsid w:val="3C9E39FD"/>
    <w:rsid w:val="3CB31B91"/>
    <w:rsid w:val="3D4A76E1"/>
    <w:rsid w:val="3D7A7FC6"/>
    <w:rsid w:val="3DB37034"/>
    <w:rsid w:val="3DF80EEB"/>
    <w:rsid w:val="3E580CE6"/>
    <w:rsid w:val="3F01276D"/>
    <w:rsid w:val="3F071615"/>
    <w:rsid w:val="3F923698"/>
    <w:rsid w:val="405014B2"/>
    <w:rsid w:val="407F76A2"/>
    <w:rsid w:val="414601C0"/>
    <w:rsid w:val="41594397"/>
    <w:rsid w:val="41C31810"/>
    <w:rsid w:val="420460B1"/>
    <w:rsid w:val="420A743F"/>
    <w:rsid w:val="42197BD5"/>
    <w:rsid w:val="42792710"/>
    <w:rsid w:val="42866339"/>
    <w:rsid w:val="428F2EE1"/>
    <w:rsid w:val="43AC6A00"/>
    <w:rsid w:val="440C56F0"/>
    <w:rsid w:val="44420118"/>
    <w:rsid w:val="44562E10"/>
    <w:rsid w:val="44613C8E"/>
    <w:rsid w:val="456B4699"/>
    <w:rsid w:val="45F62A2E"/>
    <w:rsid w:val="464C44CA"/>
    <w:rsid w:val="47210E42"/>
    <w:rsid w:val="475353E4"/>
    <w:rsid w:val="478829ED"/>
    <w:rsid w:val="47AC3472"/>
    <w:rsid w:val="480908C5"/>
    <w:rsid w:val="482F5E51"/>
    <w:rsid w:val="486A31D3"/>
    <w:rsid w:val="48A04659"/>
    <w:rsid w:val="48E44E8E"/>
    <w:rsid w:val="492D05E3"/>
    <w:rsid w:val="494D2A33"/>
    <w:rsid w:val="49FD6207"/>
    <w:rsid w:val="4A2C089A"/>
    <w:rsid w:val="4A712751"/>
    <w:rsid w:val="4A871F75"/>
    <w:rsid w:val="4AE7656F"/>
    <w:rsid w:val="4B054C48"/>
    <w:rsid w:val="4B7E5126"/>
    <w:rsid w:val="4BAD5A0B"/>
    <w:rsid w:val="4C017B05"/>
    <w:rsid w:val="4C2D4456"/>
    <w:rsid w:val="4C561BFF"/>
    <w:rsid w:val="4CF338F1"/>
    <w:rsid w:val="4D41465D"/>
    <w:rsid w:val="4D453932"/>
    <w:rsid w:val="4D7F5185"/>
    <w:rsid w:val="4D930C30"/>
    <w:rsid w:val="4E100693"/>
    <w:rsid w:val="4E127DA7"/>
    <w:rsid w:val="4E355844"/>
    <w:rsid w:val="4EB33338"/>
    <w:rsid w:val="4ED50B54"/>
    <w:rsid w:val="4FD35314"/>
    <w:rsid w:val="50AF5D81"/>
    <w:rsid w:val="50E35A2B"/>
    <w:rsid w:val="50F43794"/>
    <w:rsid w:val="51894824"/>
    <w:rsid w:val="518A1B80"/>
    <w:rsid w:val="519F7D71"/>
    <w:rsid w:val="51B318A1"/>
    <w:rsid w:val="51DD715C"/>
    <w:rsid w:val="522602C5"/>
    <w:rsid w:val="52742DDF"/>
    <w:rsid w:val="52862B12"/>
    <w:rsid w:val="52B72CCB"/>
    <w:rsid w:val="536F17F8"/>
    <w:rsid w:val="53D31D87"/>
    <w:rsid w:val="54216F96"/>
    <w:rsid w:val="54556C40"/>
    <w:rsid w:val="5479292E"/>
    <w:rsid w:val="54B0031A"/>
    <w:rsid w:val="554271C4"/>
    <w:rsid w:val="55747599"/>
    <w:rsid w:val="55853E59"/>
    <w:rsid w:val="558E2409"/>
    <w:rsid w:val="55C0633B"/>
    <w:rsid w:val="55F77D8C"/>
    <w:rsid w:val="564702D6"/>
    <w:rsid w:val="564B3E56"/>
    <w:rsid w:val="565D3B8A"/>
    <w:rsid w:val="56905D0D"/>
    <w:rsid w:val="56FA001F"/>
    <w:rsid w:val="57041455"/>
    <w:rsid w:val="57064221"/>
    <w:rsid w:val="57081D47"/>
    <w:rsid w:val="5866766D"/>
    <w:rsid w:val="58A551D9"/>
    <w:rsid w:val="590A624B"/>
    <w:rsid w:val="59D95C1D"/>
    <w:rsid w:val="59E2253B"/>
    <w:rsid w:val="5A025174"/>
    <w:rsid w:val="5A5B4288"/>
    <w:rsid w:val="5A6E0A5B"/>
    <w:rsid w:val="5A985AD8"/>
    <w:rsid w:val="5A9D6C4B"/>
    <w:rsid w:val="5B157129"/>
    <w:rsid w:val="5B3C2907"/>
    <w:rsid w:val="5BC87CF7"/>
    <w:rsid w:val="5C1F025F"/>
    <w:rsid w:val="5C6F54C7"/>
    <w:rsid w:val="5C862EBB"/>
    <w:rsid w:val="5C9425B2"/>
    <w:rsid w:val="5CFC234E"/>
    <w:rsid w:val="5D0B2591"/>
    <w:rsid w:val="5D107BA8"/>
    <w:rsid w:val="5D1A0A26"/>
    <w:rsid w:val="5D3970FE"/>
    <w:rsid w:val="5D3A2E77"/>
    <w:rsid w:val="5D722FAA"/>
    <w:rsid w:val="5DA36C6E"/>
    <w:rsid w:val="5DA402F0"/>
    <w:rsid w:val="5DF9688E"/>
    <w:rsid w:val="5E2002BE"/>
    <w:rsid w:val="5E5743CC"/>
    <w:rsid w:val="5E710B1A"/>
    <w:rsid w:val="5E8C325E"/>
    <w:rsid w:val="5F025C16"/>
    <w:rsid w:val="5F155949"/>
    <w:rsid w:val="5F3D09FC"/>
    <w:rsid w:val="5F5F4E16"/>
    <w:rsid w:val="5FE61094"/>
    <w:rsid w:val="5FFE1F39"/>
    <w:rsid w:val="60567FC7"/>
    <w:rsid w:val="60E07891"/>
    <w:rsid w:val="60EE0200"/>
    <w:rsid w:val="61573FF7"/>
    <w:rsid w:val="623205C0"/>
    <w:rsid w:val="624C1682"/>
    <w:rsid w:val="62795DF5"/>
    <w:rsid w:val="62A3326C"/>
    <w:rsid w:val="62AA0157"/>
    <w:rsid w:val="62B15989"/>
    <w:rsid w:val="633575E4"/>
    <w:rsid w:val="635A392B"/>
    <w:rsid w:val="636522D0"/>
    <w:rsid w:val="637F7835"/>
    <w:rsid w:val="63A31776"/>
    <w:rsid w:val="63E61662"/>
    <w:rsid w:val="63EF49BB"/>
    <w:rsid w:val="642C6DBE"/>
    <w:rsid w:val="64346872"/>
    <w:rsid w:val="644840CB"/>
    <w:rsid w:val="645667E8"/>
    <w:rsid w:val="648D5F82"/>
    <w:rsid w:val="64B928D3"/>
    <w:rsid w:val="651B17E0"/>
    <w:rsid w:val="651D7306"/>
    <w:rsid w:val="65202952"/>
    <w:rsid w:val="65842EE1"/>
    <w:rsid w:val="65C6174B"/>
    <w:rsid w:val="66240220"/>
    <w:rsid w:val="662B15AE"/>
    <w:rsid w:val="66CD4D5B"/>
    <w:rsid w:val="6784366C"/>
    <w:rsid w:val="67980EC5"/>
    <w:rsid w:val="67B61CC3"/>
    <w:rsid w:val="680E2F36"/>
    <w:rsid w:val="6841155D"/>
    <w:rsid w:val="68725BBA"/>
    <w:rsid w:val="68802085"/>
    <w:rsid w:val="689D201F"/>
    <w:rsid w:val="68BE670A"/>
    <w:rsid w:val="68D221B5"/>
    <w:rsid w:val="6906005F"/>
    <w:rsid w:val="69470DF5"/>
    <w:rsid w:val="69CA10DE"/>
    <w:rsid w:val="69FD3A6F"/>
    <w:rsid w:val="6A1862EE"/>
    <w:rsid w:val="6A3749C6"/>
    <w:rsid w:val="6A6908F7"/>
    <w:rsid w:val="6AED1528"/>
    <w:rsid w:val="6AF61974"/>
    <w:rsid w:val="6BD821D8"/>
    <w:rsid w:val="6C3867D3"/>
    <w:rsid w:val="6D323B6A"/>
    <w:rsid w:val="6D367D65"/>
    <w:rsid w:val="6D4F64CA"/>
    <w:rsid w:val="6E064DF6"/>
    <w:rsid w:val="6E625D89"/>
    <w:rsid w:val="6E8B1784"/>
    <w:rsid w:val="6F011A46"/>
    <w:rsid w:val="6F177070"/>
    <w:rsid w:val="6FAC7C04"/>
    <w:rsid w:val="6FF70753"/>
    <w:rsid w:val="70111815"/>
    <w:rsid w:val="706109EE"/>
    <w:rsid w:val="70746E68"/>
    <w:rsid w:val="70D2369A"/>
    <w:rsid w:val="71324139"/>
    <w:rsid w:val="716732E1"/>
    <w:rsid w:val="71775FF0"/>
    <w:rsid w:val="71876B8B"/>
    <w:rsid w:val="719646C8"/>
    <w:rsid w:val="72127FA6"/>
    <w:rsid w:val="728D3F34"/>
    <w:rsid w:val="73203949"/>
    <w:rsid w:val="733E5017"/>
    <w:rsid w:val="73467A28"/>
    <w:rsid w:val="736A4AB0"/>
    <w:rsid w:val="73896E94"/>
    <w:rsid w:val="73A155A6"/>
    <w:rsid w:val="740F0761"/>
    <w:rsid w:val="746F3AA6"/>
    <w:rsid w:val="74B65081"/>
    <w:rsid w:val="75377F70"/>
    <w:rsid w:val="75750A98"/>
    <w:rsid w:val="757A60AE"/>
    <w:rsid w:val="7586011E"/>
    <w:rsid w:val="75F220E9"/>
    <w:rsid w:val="76472434"/>
    <w:rsid w:val="76CC0B8C"/>
    <w:rsid w:val="76FA21CF"/>
    <w:rsid w:val="773A78A3"/>
    <w:rsid w:val="774B4FC1"/>
    <w:rsid w:val="779F1DFC"/>
    <w:rsid w:val="77BF249E"/>
    <w:rsid w:val="77ED0DBA"/>
    <w:rsid w:val="782C7B34"/>
    <w:rsid w:val="78306EF8"/>
    <w:rsid w:val="786F170C"/>
    <w:rsid w:val="78881C8A"/>
    <w:rsid w:val="78EE1495"/>
    <w:rsid w:val="78F61EF0"/>
    <w:rsid w:val="794013BD"/>
    <w:rsid w:val="79404F19"/>
    <w:rsid w:val="7956298E"/>
    <w:rsid w:val="799C0873"/>
    <w:rsid w:val="79B17BC5"/>
    <w:rsid w:val="79C97604"/>
    <w:rsid w:val="79CE69C9"/>
    <w:rsid w:val="7A55659A"/>
    <w:rsid w:val="7A862E00"/>
    <w:rsid w:val="7AE13C29"/>
    <w:rsid w:val="7AE55D78"/>
    <w:rsid w:val="7B456885"/>
    <w:rsid w:val="7B9A1258"/>
    <w:rsid w:val="7C1E3C37"/>
    <w:rsid w:val="7C5A471D"/>
    <w:rsid w:val="7CA81753"/>
    <w:rsid w:val="7CDE33C7"/>
    <w:rsid w:val="7CE65DD7"/>
    <w:rsid w:val="7CEF1130"/>
    <w:rsid w:val="7D0A41BC"/>
    <w:rsid w:val="7D366D5F"/>
    <w:rsid w:val="7D7B6E68"/>
    <w:rsid w:val="7DA22646"/>
    <w:rsid w:val="7E0D5D12"/>
    <w:rsid w:val="7E573431"/>
    <w:rsid w:val="7E694F12"/>
    <w:rsid w:val="7E8B6C36"/>
    <w:rsid w:val="7EB02B41"/>
    <w:rsid w:val="7EB73ECF"/>
    <w:rsid w:val="7EDF349E"/>
    <w:rsid w:val="7EF64C9D"/>
    <w:rsid w:val="7EFB0260"/>
    <w:rsid w:val="7F0F1615"/>
    <w:rsid w:val="7F3B68AE"/>
    <w:rsid w:val="7FBB79EF"/>
    <w:rsid w:val="7FC9210C"/>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qFormat/>
    <w:uiPriority w:val="0"/>
    <w:rPr>
      <w:rFonts w:ascii="Arial" w:hAnsi="Arial" w:eastAsia="Arial" w:cs="Arial"/>
      <w:snapToGrid w:val="0"/>
      <w:color w:val="000000"/>
      <w:sz w:val="18"/>
      <w:szCs w:val="18"/>
      <w:lang w:eastAsia="en-US"/>
    </w:rPr>
  </w:style>
  <w:style w:type="paragraph" w:customStyle="1" w:styleId="9">
    <w:name w:val="Table Text"/>
    <w:basedOn w:val="1"/>
    <w:semiHidden/>
    <w:qFormat/>
    <w:uiPriority w:val="0"/>
    <w:rPr>
      <w:rFonts w:ascii="宋体" w:hAnsi="宋体" w:eastAsia="宋体" w:cs="宋体"/>
      <w:sz w:val="17"/>
      <w:szCs w:val="17"/>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8532</Words>
  <Characters>9026</Characters>
  <Lines>78</Lines>
  <Paragraphs>22</Paragraphs>
  <TotalTime>2</TotalTime>
  <ScaleCrop>false</ScaleCrop>
  <LinksUpToDate>false</LinksUpToDate>
  <CharactersWithSpaces>9184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2025-04-22T03:24:00Z</dcterms:created>
  <dc:creator>Administrator</dc:creator>
  <cp:lastModifiedBy>CCY</cp:lastModifiedBy>
  <dcterms:modified xsi:type="dcterms:W3CDTF">2026-04-02T13:15:34Z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eyJoZGlkIjoiYzgyM2FhYzQ3NTMzNzFkZWRmNjY3OTFiYTQwMGI1NDAiLCJ1c2VySWQiOiIxMzM0NjY2MTg3In0=</vt:lpwstr>
  </property>
  <property fmtid="{D5CDD505-2E9C-101B-9397-08002B2CF9AE}" pid="4" name="ICV">
    <vt:lpwstr>22DA96DF604345D289106A8741958343_13</vt:lpwstr>
  </property>
</Properties>
</file>